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DF8" w:rsidRPr="009131BA" w:rsidRDefault="00F20DF8" w:rsidP="00ED7E56">
      <w:pPr>
        <w:widowControl w:val="0"/>
        <w:tabs>
          <w:tab w:val="left" w:pos="5310"/>
        </w:tabs>
        <w:autoSpaceDE w:val="0"/>
        <w:autoSpaceDN w:val="0"/>
        <w:adjustRightInd w:val="0"/>
        <w:spacing w:after="0" w:line="360" w:lineRule="auto"/>
        <w:ind w:right="90"/>
        <w:jc w:val="center"/>
        <w:rPr>
          <w:rFonts w:ascii="Cambria" w:hAnsi="Cambria" w:cs="Cambria"/>
          <w:sz w:val="28"/>
          <w:szCs w:val="24"/>
        </w:rPr>
      </w:pPr>
      <w:r w:rsidRPr="009131BA">
        <w:rPr>
          <w:rFonts w:ascii="Cambria" w:hAnsi="Cambria" w:cs="Cambria"/>
          <w:b/>
          <w:bCs/>
          <w:sz w:val="28"/>
          <w:szCs w:val="24"/>
        </w:rPr>
        <w:t>BAB II</w:t>
      </w:r>
    </w:p>
    <w:p w:rsidR="00F20DF8" w:rsidRPr="009131BA" w:rsidRDefault="00F20DF8" w:rsidP="00ED7E56">
      <w:pPr>
        <w:widowControl w:val="0"/>
        <w:autoSpaceDE w:val="0"/>
        <w:autoSpaceDN w:val="0"/>
        <w:adjustRightInd w:val="0"/>
        <w:spacing w:after="0" w:line="360" w:lineRule="auto"/>
        <w:ind w:left="2426" w:right="2433"/>
        <w:jc w:val="center"/>
        <w:rPr>
          <w:rFonts w:ascii="Cambria" w:hAnsi="Cambria" w:cs="Cambria"/>
          <w:sz w:val="28"/>
          <w:szCs w:val="24"/>
        </w:rPr>
      </w:pPr>
      <w:r w:rsidRPr="009131BA">
        <w:rPr>
          <w:rFonts w:ascii="Cambria" w:hAnsi="Cambria" w:cs="Cambria"/>
          <w:b/>
          <w:bCs/>
          <w:sz w:val="28"/>
          <w:szCs w:val="24"/>
        </w:rPr>
        <w:t>KERANGKA</w:t>
      </w:r>
      <w:r w:rsidRPr="009131BA">
        <w:rPr>
          <w:rFonts w:ascii="Cambria" w:hAnsi="Cambria" w:cs="Cambria"/>
          <w:b/>
          <w:bCs/>
          <w:spacing w:val="-1"/>
          <w:sz w:val="28"/>
          <w:szCs w:val="24"/>
        </w:rPr>
        <w:t xml:space="preserve"> </w:t>
      </w:r>
      <w:r w:rsidRPr="009131BA">
        <w:rPr>
          <w:rFonts w:ascii="Cambria" w:hAnsi="Cambria" w:cs="Cambria"/>
          <w:b/>
          <w:bCs/>
          <w:sz w:val="28"/>
          <w:szCs w:val="24"/>
        </w:rPr>
        <w:t>EKONOMI MAKRO</w:t>
      </w:r>
      <w:r w:rsidRPr="009131BA">
        <w:rPr>
          <w:rFonts w:ascii="Cambria" w:hAnsi="Cambria" w:cs="Cambria"/>
          <w:b/>
          <w:bCs/>
          <w:spacing w:val="1"/>
          <w:sz w:val="28"/>
          <w:szCs w:val="24"/>
        </w:rPr>
        <w:t xml:space="preserve"> </w:t>
      </w:r>
      <w:r w:rsidRPr="009131BA">
        <w:rPr>
          <w:rFonts w:ascii="Cambria" w:hAnsi="Cambria" w:cs="Cambria"/>
          <w:b/>
          <w:bCs/>
          <w:sz w:val="28"/>
          <w:szCs w:val="24"/>
        </w:rPr>
        <w:t>KOTA BONTANG</w:t>
      </w:r>
    </w:p>
    <w:p w:rsidR="00F20DF8" w:rsidRPr="009131BA" w:rsidRDefault="00F20DF8" w:rsidP="00ED7E56">
      <w:pPr>
        <w:widowControl w:val="0"/>
        <w:autoSpaceDE w:val="0"/>
        <w:autoSpaceDN w:val="0"/>
        <w:adjustRightInd w:val="0"/>
        <w:spacing w:after="0" w:line="360" w:lineRule="auto"/>
        <w:rPr>
          <w:rFonts w:ascii="Cambria" w:hAnsi="Cambria" w:cs="Cambria"/>
          <w:sz w:val="24"/>
          <w:szCs w:val="24"/>
        </w:rPr>
      </w:pPr>
    </w:p>
    <w:p w:rsidR="00373FBC" w:rsidRPr="009131BA" w:rsidRDefault="00373FBC" w:rsidP="00373FBC">
      <w:pPr>
        <w:spacing w:line="276" w:lineRule="auto"/>
        <w:ind w:firstLine="720"/>
        <w:jc w:val="both"/>
        <w:outlineLvl w:val="0"/>
        <w:rPr>
          <w:rFonts w:ascii="Cambria" w:hAnsi="Cambria" w:cs="Arial"/>
          <w:sz w:val="24"/>
          <w:lang w:val="it-IT"/>
        </w:rPr>
      </w:pPr>
    </w:p>
    <w:p w:rsidR="00373FBC" w:rsidRPr="009131BA" w:rsidRDefault="00373FBC" w:rsidP="002B086A">
      <w:pPr>
        <w:pStyle w:val="Style1"/>
        <w:numPr>
          <w:ilvl w:val="1"/>
          <w:numId w:val="13"/>
        </w:numPr>
        <w:ind w:left="567" w:hanging="567"/>
        <w:rPr>
          <w:rFonts w:ascii="Cambria" w:hAnsi="Cambria"/>
          <w:lang w:val="es-MX"/>
        </w:rPr>
      </w:pPr>
      <w:r w:rsidRPr="009131BA">
        <w:rPr>
          <w:rFonts w:ascii="Cambria" w:hAnsi="Cambria"/>
          <w:lang w:val="es-MX"/>
        </w:rPr>
        <w:t xml:space="preserve">Arah Kebijakan </w:t>
      </w:r>
      <w:r w:rsidRPr="009131BA">
        <w:rPr>
          <w:rFonts w:ascii="Cambria" w:hAnsi="Cambria"/>
          <w:lang w:val="id-ID"/>
        </w:rPr>
        <w:t>Ekonomi</w:t>
      </w:r>
      <w:r w:rsidRPr="009131BA">
        <w:rPr>
          <w:rFonts w:ascii="Cambria" w:hAnsi="Cambria"/>
          <w:lang w:val="es-MX"/>
        </w:rPr>
        <w:t xml:space="preserve"> Daerah</w:t>
      </w:r>
    </w:p>
    <w:p w:rsidR="00373FBC" w:rsidRPr="009131BA" w:rsidRDefault="00373FBC" w:rsidP="00EF0F6E">
      <w:pPr>
        <w:pStyle w:val="Style1"/>
        <w:ind w:left="567" w:firstLine="720"/>
        <w:rPr>
          <w:rFonts w:ascii="Cambria" w:hAnsi="Cambria"/>
          <w:b w:val="0"/>
          <w:lang w:val="id-ID"/>
        </w:rPr>
      </w:pPr>
      <w:r w:rsidRPr="009131BA">
        <w:rPr>
          <w:rFonts w:ascii="Cambria" w:hAnsi="Cambria"/>
          <w:b w:val="0"/>
          <w:lang w:val="id-ID"/>
        </w:rPr>
        <w:t xml:space="preserve">Rancangan kerangka ekonomi Kota Bontang merupakan hasil kajian dan analisis statistik terhadap perkembangan indikator-indikator makro ekonomi dan faktor-faktor yang mempengaruhinya baik internal maupun eksternal. Melalui analisis terhadap perkembangan dan karakeristik perekonomian Kota Bontang hingga tahun 2014, selanjutnya dilakukan perkiraan prospek perekonomian tahun 2015-2016. Pada Bab ini juga dibahas mengenai tantangan perekonomian Kota Bontang dengan mengacu pada dinamika perekonomian daerah, nasional, maupun global. </w:t>
      </w:r>
    </w:p>
    <w:p w:rsidR="00373FBC" w:rsidRPr="009131BA" w:rsidRDefault="002B086A" w:rsidP="00EF0F6E">
      <w:pPr>
        <w:pStyle w:val="Style1"/>
        <w:ind w:left="709" w:hanging="709"/>
        <w:rPr>
          <w:rFonts w:ascii="Cambria" w:hAnsi="Cambria"/>
          <w:lang w:val="id-ID"/>
        </w:rPr>
      </w:pPr>
      <w:r>
        <w:rPr>
          <w:rFonts w:ascii="Cambria" w:hAnsi="Cambria"/>
          <w:lang w:val="id-ID"/>
        </w:rPr>
        <w:t>2</w:t>
      </w:r>
      <w:r w:rsidR="00373FBC" w:rsidRPr="009131BA">
        <w:rPr>
          <w:rFonts w:ascii="Cambria" w:hAnsi="Cambria"/>
          <w:lang w:val="id-ID"/>
        </w:rPr>
        <w:t xml:space="preserve">.1.1. </w:t>
      </w:r>
      <w:r w:rsidR="00EF0F6E">
        <w:rPr>
          <w:rFonts w:ascii="Cambria" w:hAnsi="Cambria"/>
          <w:lang w:val="id-ID"/>
        </w:rPr>
        <w:tab/>
      </w:r>
      <w:r w:rsidR="00373FBC" w:rsidRPr="009131BA">
        <w:rPr>
          <w:rFonts w:ascii="Cambria" w:hAnsi="Cambria"/>
          <w:lang w:val="id-ID"/>
        </w:rPr>
        <w:t>Kondisi Ekonomi Makro Kota Bontang</w:t>
      </w:r>
    </w:p>
    <w:p w:rsidR="00373FBC" w:rsidRPr="009131BA" w:rsidRDefault="00373FBC" w:rsidP="00EF0F6E">
      <w:pPr>
        <w:pStyle w:val="Style1"/>
        <w:ind w:left="709" w:hanging="425"/>
        <w:rPr>
          <w:rFonts w:ascii="Cambria" w:hAnsi="Cambria"/>
          <w:lang w:val="id-ID"/>
        </w:rPr>
      </w:pPr>
      <w:r w:rsidRPr="009131BA">
        <w:rPr>
          <w:rFonts w:ascii="Cambria" w:hAnsi="Cambria"/>
          <w:lang w:val="id-ID"/>
        </w:rPr>
        <w:t xml:space="preserve">a. </w:t>
      </w:r>
      <w:r w:rsidR="00EF0F6E">
        <w:rPr>
          <w:rFonts w:ascii="Cambria" w:hAnsi="Cambria"/>
          <w:lang w:val="id-ID"/>
        </w:rPr>
        <w:tab/>
      </w:r>
      <w:r w:rsidRPr="009131BA">
        <w:rPr>
          <w:rFonts w:ascii="Cambria" w:hAnsi="Cambria"/>
          <w:lang w:val="id-ID"/>
        </w:rPr>
        <w:t>Pertumbuhan Ekonomi</w:t>
      </w:r>
    </w:p>
    <w:p w:rsidR="00373FBC" w:rsidRPr="009131BA" w:rsidRDefault="00373FBC" w:rsidP="00EF0F6E">
      <w:pPr>
        <w:pStyle w:val="Style1"/>
        <w:ind w:left="709" w:firstLine="567"/>
        <w:rPr>
          <w:rFonts w:ascii="Cambria" w:hAnsi="Cambria"/>
          <w:b w:val="0"/>
          <w:lang w:val="id-ID"/>
        </w:rPr>
      </w:pPr>
      <w:r w:rsidRPr="009131BA">
        <w:rPr>
          <w:rFonts w:ascii="Cambria" w:hAnsi="Cambria"/>
          <w:b w:val="0"/>
          <w:lang w:val="id-ID"/>
        </w:rPr>
        <w:t xml:space="preserve">Berbeda dengan sebagian besar daerah-daerah di Indonesia, perkembangan perekonomian Kota Bontang sangat dipengaruhi oleh kapasitas produksi atau disebut </w:t>
      </w:r>
      <w:r w:rsidRPr="009131BA">
        <w:rPr>
          <w:rFonts w:ascii="Cambria" w:hAnsi="Cambria"/>
          <w:b w:val="0"/>
          <w:i/>
          <w:lang w:val="id-ID"/>
        </w:rPr>
        <w:t>supply side</w:t>
      </w:r>
      <w:r w:rsidRPr="009131BA">
        <w:rPr>
          <w:rFonts w:ascii="Cambria" w:hAnsi="Cambria"/>
          <w:b w:val="0"/>
          <w:lang w:val="id-ID"/>
        </w:rPr>
        <w:t xml:space="preserve"> </w:t>
      </w:r>
      <w:r w:rsidRPr="009131BA">
        <w:rPr>
          <w:rFonts w:ascii="Cambria" w:hAnsi="Cambria"/>
          <w:b w:val="0"/>
          <w:i/>
          <w:lang w:val="id-ID"/>
        </w:rPr>
        <w:t>economy</w:t>
      </w:r>
      <w:r w:rsidRPr="009131BA">
        <w:rPr>
          <w:rFonts w:ascii="Cambria" w:hAnsi="Cambria"/>
          <w:b w:val="0"/>
          <w:lang w:val="id-ID"/>
        </w:rPr>
        <w:t>. Tingkat pertumbuhan ekonomi Kota Bontang sangat ditentukan oleh tingkat produksi industri pengolahan migas dan industri kimia yang merupakan kontributor utama dalam perekonomian. Dominasi sektor industri pengolahan terhadap PDRB Kota Bontang atas dasar harga berlaku hingga tahun 2014 masih mencapai 94,45 persen, sedangkan bila dihitung berdasarkan harga konstan kontribusinya mencapai 87,05 persen. Dengan peran yang sangat dominan tersebut menyebabkan pengaruhnya terhadap laju pertumbuhan ekonomi menjadi sangat signifikan. Trend menurunnya produksi industri pengolahan gas alam cair oleh PT. Badak N.G.L. dalam kurun waktu 2009-2014, berdampak pada rata-rata laju pertumbuhan ekonomi Kota Bontang yang tumbuh negatif mencapai -6,5 persen. Hal ini berpengaruh pula terhadap laju pertumbuhan ekonomi Provinsi Kalimantan Timur secara aggregat, dimana dibandingkan pertumbuhan ekonomi provinsi-</w:t>
      </w:r>
      <w:r w:rsidRPr="009131BA">
        <w:rPr>
          <w:rFonts w:ascii="Cambria" w:hAnsi="Cambria"/>
          <w:b w:val="0"/>
          <w:lang w:val="id-ID"/>
        </w:rPr>
        <w:lastRenderedPageBreak/>
        <w:t>provinsi lainnya di Kalimantan, pertumbuhan</w:t>
      </w:r>
      <w:r w:rsidR="00EF0F6E">
        <w:rPr>
          <w:rFonts w:ascii="Cambria" w:hAnsi="Cambria"/>
          <w:b w:val="0"/>
          <w:lang w:val="id-ID"/>
        </w:rPr>
        <w:t xml:space="preserve"> ekonomi Kaltim adalah yang ter</w:t>
      </w:r>
      <w:r w:rsidRPr="009131BA">
        <w:rPr>
          <w:rFonts w:ascii="Cambria" w:hAnsi="Cambria"/>
          <w:b w:val="0"/>
          <w:lang w:val="id-ID"/>
        </w:rPr>
        <w:t xml:space="preserve">endah. </w:t>
      </w:r>
    </w:p>
    <w:p w:rsidR="00373FBC" w:rsidRDefault="00373FBC" w:rsidP="00EF0F6E">
      <w:pPr>
        <w:pStyle w:val="Style1"/>
        <w:ind w:left="709" w:firstLine="567"/>
        <w:rPr>
          <w:rFonts w:ascii="Cambria" w:hAnsi="Cambria"/>
          <w:b w:val="0"/>
          <w:lang w:val="en-US"/>
        </w:rPr>
      </w:pPr>
      <w:r w:rsidRPr="009131BA">
        <w:rPr>
          <w:rFonts w:ascii="Cambria" w:hAnsi="Cambria"/>
          <w:b w:val="0"/>
          <w:lang w:val="id-ID"/>
        </w:rPr>
        <w:t>Untuk melihat pertumbuhan ekonomi Kota Bontang secara lebih ril digunakan perhitungan PDRB dengan mengeluarkan unsur Migas. Berdasarkan pertumbuhan ekonomi tanpa migas, laju pertumbuhan ekonomi Kota Bontang mencapai 7,28 persen pada tahun 2014. Gambar berikut ini adalah perbanding laju pertumbuhan ekonomi Kota Bontang dengan laju pertumbuhan ekonomi Provinsi Kalimantan Timur.</w:t>
      </w:r>
    </w:p>
    <w:p w:rsidR="009131BA" w:rsidRPr="009131BA" w:rsidRDefault="009131BA" w:rsidP="00373FBC">
      <w:pPr>
        <w:pStyle w:val="Style1"/>
        <w:spacing w:line="276" w:lineRule="auto"/>
        <w:ind w:firstLine="720"/>
        <w:rPr>
          <w:rFonts w:ascii="Cambria" w:hAnsi="Cambria"/>
          <w:b w:val="0"/>
          <w:lang w:val="en-US"/>
        </w:rPr>
      </w:pPr>
    </w:p>
    <w:p w:rsidR="00373FBC" w:rsidRPr="009131BA" w:rsidRDefault="00373FBC" w:rsidP="00373FBC">
      <w:pPr>
        <w:pStyle w:val="Style1"/>
        <w:spacing w:before="0" w:line="240" w:lineRule="auto"/>
        <w:ind w:firstLine="720"/>
        <w:jc w:val="center"/>
        <w:rPr>
          <w:rFonts w:ascii="Cambria" w:hAnsi="Cambria"/>
          <w:b w:val="0"/>
          <w:lang w:val="id-ID"/>
        </w:rPr>
      </w:pPr>
      <w:r w:rsidRPr="009131BA">
        <w:rPr>
          <w:rFonts w:ascii="Cambria" w:hAnsi="Cambria"/>
          <w:b w:val="0"/>
          <w:lang w:val="id-ID"/>
        </w:rPr>
        <w:t>Ga</w:t>
      </w:r>
      <w:r w:rsidR="009131BA">
        <w:rPr>
          <w:rFonts w:ascii="Cambria" w:hAnsi="Cambria"/>
          <w:b w:val="0"/>
          <w:lang w:val="en-US"/>
        </w:rPr>
        <w:t>m</w:t>
      </w:r>
      <w:r w:rsidRPr="009131BA">
        <w:rPr>
          <w:rFonts w:ascii="Cambria" w:hAnsi="Cambria"/>
          <w:b w:val="0"/>
          <w:lang w:val="id-ID"/>
        </w:rPr>
        <w:t xml:space="preserve">bar </w:t>
      </w:r>
      <w:r w:rsidR="002B086A">
        <w:rPr>
          <w:rFonts w:ascii="Cambria" w:hAnsi="Cambria"/>
          <w:b w:val="0"/>
          <w:lang w:val="id-ID"/>
        </w:rPr>
        <w:t>2</w:t>
      </w:r>
      <w:r w:rsidRPr="009131BA">
        <w:rPr>
          <w:rFonts w:ascii="Cambria" w:hAnsi="Cambria"/>
          <w:b w:val="0"/>
          <w:lang w:val="id-ID"/>
        </w:rPr>
        <w:t>.1</w:t>
      </w:r>
    </w:p>
    <w:p w:rsidR="00373FBC" w:rsidRPr="009131BA" w:rsidRDefault="00373FBC" w:rsidP="00373FBC">
      <w:pPr>
        <w:pStyle w:val="Style1"/>
        <w:spacing w:before="0" w:line="240" w:lineRule="auto"/>
        <w:ind w:firstLine="720"/>
        <w:jc w:val="center"/>
        <w:rPr>
          <w:rFonts w:ascii="Cambria" w:hAnsi="Cambria"/>
          <w:b w:val="0"/>
          <w:lang w:val="id-ID"/>
        </w:rPr>
      </w:pPr>
      <w:r w:rsidRPr="009131BA">
        <w:rPr>
          <w:rFonts w:ascii="Cambria" w:hAnsi="Cambria"/>
          <w:b w:val="0"/>
          <w:lang w:val="id-ID"/>
        </w:rPr>
        <w:t>Laju Pertumbuhan Ekonomi</w:t>
      </w:r>
    </w:p>
    <w:p w:rsidR="00373FBC" w:rsidRPr="009131BA" w:rsidRDefault="00373FBC" w:rsidP="00373FBC">
      <w:pPr>
        <w:pStyle w:val="Style1"/>
        <w:spacing w:before="0" w:line="240" w:lineRule="auto"/>
        <w:ind w:firstLine="720"/>
        <w:jc w:val="center"/>
        <w:rPr>
          <w:rFonts w:ascii="Cambria" w:hAnsi="Cambria"/>
          <w:b w:val="0"/>
          <w:lang w:val="en-US"/>
        </w:rPr>
      </w:pPr>
      <w:r w:rsidRPr="009131BA">
        <w:rPr>
          <w:rFonts w:ascii="Cambria" w:hAnsi="Cambria"/>
          <w:b w:val="0"/>
          <w:lang w:val="id-ID"/>
        </w:rPr>
        <w:t>Kota Bontang 20</w:t>
      </w:r>
      <w:r w:rsidRPr="009131BA">
        <w:rPr>
          <w:rFonts w:ascii="Cambria" w:hAnsi="Cambria"/>
          <w:b w:val="0"/>
          <w:lang w:val="en-US"/>
        </w:rPr>
        <w:t>11</w:t>
      </w:r>
      <w:r w:rsidRPr="009131BA">
        <w:rPr>
          <w:rFonts w:ascii="Cambria" w:hAnsi="Cambria"/>
          <w:b w:val="0"/>
          <w:lang w:val="id-ID"/>
        </w:rPr>
        <w:t>-201</w:t>
      </w:r>
      <w:r w:rsidRPr="009131BA">
        <w:rPr>
          <w:rFonts w:ascii="Cambria" w:hAnsi="Cambria"/>
          <w:b w:val="0"/>
          <w:lang w:val="en-US"/>
        </w:rPr>
        <w:t>4</w:t>
      </w:r>
    </w:p>
    <w:p w:rsidR="00373FBC" w:rsidRPr="009131BA" w:rsidRDefault="00373FBC" w:rsidP="00373FBC">
      <w:pPr>
        <w:pStyle w:val="Style1"/>
        <w:spacing w:line="276" w:lineRule="auto"/>
        <w:ind w:firstLine="720"/>
        <w:rPr>
          <w:rFonts w:ascii="Cambria" w:hAnsi="Cambria"/>
          <w:b w:val="0"/>
          <w:lang w:val="id-ID"/>
        </w:rPr>
      </w:pPr>
      <w:r w:rsidRPr="009131BA">
        <w:rPr>
          <w:rFonts w:ascii="Cambria" w:hAnsi="Cambria"/>
          <w:b w:val="0"/>
          <w:lang w:val="id-ID"/>
        </w:rPr>
        <w:t xml:space="preserve"> </w:t>
      </w:r>
      <w:r w:rsidRPr="009131BA">
        <w:rPr>
          <w:rFonts w:ascii="Cambria" w:hAnsi="Cambria"/>
          <w:noProof/>
          <w:lang w:val="id-ID" w:eastAsia="id-ID"/>
        </w:rPr>
        <w:drawing>
          <wp:inline distT="0" distB="0" distL="0" distR="0">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73FBC" w:rsidRPr="009131BA" w:rsidRDefault="00373FBC" w:rsidP="00373FBC">
      <w:pPr>
        <w:pStyle w:val="Style1"/>
        <w:spacing w:before="0" w:line="276" w:lineRule="auto"/>
        <w:ind w:firstLine="720"/>
        <w:rPr>
          <w:rFonts w:ascii="Cambria" w:hAnsi="Cambria"/>
          <w:b w:val="0"/>
          <w:i/>
          <w:sz w:val="20"/>
          <w:szCs w:val="20"/>
          <w:lang w:val="id-ID"/>
        </w:rPr>
      </w:pPr>
      <w:r w:rsidRPr="009131BA">
        <w:rPr>
          <w:rFonts w:ascii="Cambria" w:hAnsi="Cambria"/>
          <w:b w:val="0"/>
          <w:i/>
          <w:sz w:val="20"/>
          <w:szCs w:val="20"/>
          <w:lang w:val="id-ID"/>
        </w:rPr>
        <w:t>Sumber: Analisis PDRB Kota Bontang Tahun 2013 dan SIPD Tahun 2014</w:t>
      </w:r>
    </w:p>
    <w:p w:rsidR="009131BA" w:rsidRDefault="009131BA" w:rsidP="00373FBC">
      <w:pPr>
        <w:pStyle w:val="Style1"/>
        <w:spacing w:before="0" w:line="276" w:lineRule="auto"/>
        <w:ind w:firstLine="720"/>
        <w:rPr>
          <w:rFonts w:ascii="Cambria" w:hAnsi="Cambria"/>
          <w:b w:val="0"/>
          <w:lang w:val="en-US"/>
        </w:rPr>
      </w:pP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Meskipun masih mengalami pertumbuhan negatif, trend pertumbuhan ekonomi Kota Bontang terus menunjukkan perbaikan. Pertumbuhan ekonomi tahun 2014 berdasarkan angka sementara tercapai sebesar -4,14 persen lebih tinggi dibandingkan tahun 2013 dimana perekonomian Kota Bontang pertumbuhannya masih pada kisaran  -6,4 persen. Trend perbaikan pertumbuhan ini diperkirakan masih akan berada pada pertumbuhan negatif pada tahun 2015 dan 2016. Hal ini berdasarkan pada belum adanya prospek kebijakan nasional yang akan menaikkan lifting minyak dan gas secara signifikan pada tahun-tahun mendatang.</w:t>
      </w:r>
    </w:p>
    <w:p w:rsidR="00373FBC" w:rsidRDefault="00373FBC" w:rsidP="00EF0F6E">
      <w:pPr>
        <w:pStyle w:val="Style1"/>
        <w:spacing w:before="0"/>
        <w:ind w:left="709" w:firstLine="567"/>
        <w:rPr>
          <w:rFonts w:ascii="Cambria" w:hAnsi="Cambria"/>
          <w:b w:val="0"/>
          <w:lang w:val="en-US"/>
        </w:rPr>
      </w:pPr>
      <w:r w:rsidRPr="009131BA">
        <w:rPr>
          <w:rFonts w:ascii="Cambria" w:hAnsi="Cambria"/>
          <w:b w:val="0"/>
          <w:lang w:val="id-ID"/>
        </w:rPr>
        <w:lastRenderedPageBreak/>
        <w:t>Mengacu pada pertumbuhan ekonomi tanpa migas, perekonomian Kota Bontang mengalami pertumbuhan signifikan pada tahun 2014 yang mencapai 7,28  persen, lebih tinggi dibandingkan dengan pertumbuhan ekonomi pada tahun 2013 yang tercatat tumbuh 6,43 persen. Capaian pertumbuhan ini secara sektoral utamanya disumbang oleh pertumbuhan sektor industri pengolahan (industri kimia) dimana pertumbuhannya tercapai 10,12 persen pada tahun 2014. Sektor-sektor lainnya juga menunjukkan peningkatan pertumbuhan dibandingkan dengan pertumbuhan tahun 2013. Indikasi yang cukup baik ini diharapkan dapat menjadi potret arah perkembangan ekonomi Kota Bontang, dimana perbaikan perekonomian diluar migas dapat terus meningkat dan secara bertahap mengurangi ketergantungan ekonomi pada sektor migas.</w:t>
      </w:r>
    </w:p>
    <w:p w:rsidR="009131BA" w:rsidRDefault="009131BA" w:rsidP="00373FBC">
      <w:pPr>
        <w:pStyle w:val="Style1"/>
        <w:spacing w:before="0" w:line="276" w:lineRule="auto"/>
        <w:ind w:firstLine="720"/>
        <w:rPr>
          <w:rFonts w:ascii="Cambria" w:hAnsi="Cambria"/>
          <w:b w:val="0"/>
          <w:lang w:val="en-US"/>
        </w:rPr>
      </w:pP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 xml:space="preserve">Tabel </w:t>
      </w:r>
      <w:r w:rsidR="002B086A">
        <w:rPr>
          <w:rFonts w:ascii="Cambria" w:hAnsi="Cambria"/>
          <w:b w:val="0"/>
          <w:lang w:val="id-ID"/>
        </w:rPr>
        <w:t>2</w:t>
      </w:r>
      <w:r w:rsidRPr="009131BA">
        <w:rPr>
          <w:rFonts w:ascii="Cambria" w:hAnsi="Cambria"/>
          <w:b w:val="0"/>
          <w:lang w:val="id-ID"/>
        </w:rPr>
        <w:t>.1</w:t>
      </w: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Laju Pertumbuhan Ekonomi Sektoral Kota Bontang Tanpa Migas</w:t>
      </w:r>
    </w:p>
    <w:p w:rsidR="00373FBC" w:rsidRPr="009131BA" w:rsidRDefault="00373FBC" w:rsidP="00373FBC">
      <w:pPr>
        <w:pStyle w:val="Style1"/>
        <w:spacing w:before="0" w:line="276" w:lineRule="auto"/>
        <w:jc w:val="center"/>
        <w:rPr>
          <w:rFonts w:ascii="Cambria" w:hAnsi="Cambria"/>
          <w:b w:val="0"/>
          <w:lang w:val="id-ID"/>
        </w:rPr>
      </w:pPr>
      <w:r w:rsidRPr="009131BA">
        <w:rPr>
          <w:rFonts w:ascii="Cambria" w:hAnsi="Cambria"/>
          <w:b w:val="0"/>
          <w:lang w:val="id-ID"/>
        </w:rPr>
        <w:t>Tahun 2010-2014</w:t>
      </w:r>
    </w:p>
    <w:tbl>
      <w:tblPr>
        <w:tblW w:w="8662" w:type="dxa"/>
        <w:tblInd w:w="299" w:type="dxa"/>
        <w:tblCellMar>
          <w:left w:w="0" w:type="dxa"/>
          <w:right w:w="0" w:type="dxa"/>
        </w:tblCellMar>
        <w:tblLook w:val="0600"/>
      </w:tblPr>
      <w:tblGrid>
        <w:gridCol w:w="3276"/>
        <w:gridCol w:w="1134"/>
        <w:gridCol w:w="1134"/>
        <w:gridCol w:w="1134"/>
        <w:gridCol w:w="992"/>
        <w:gridCol w:w="992"/>
      </w:tblGrid>
      <w:tr w:rsidR="00373FBC" w:rsidRPr="009131BA" w:rsidTr="00EF0F6E">
        <w:trPr>
          <w:trHeight w:val="269"/>
        </w:trPr>
        <w:tc>
          <w:tcPr>
            <w:tcW w:w="3276"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Lapangan Usaha</w:t>
            </w:r>
          </w:p>
        </w:tc>
        <w:tc>
          <w:tcPr>
            <w:tcW w:w="1134"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2010</w:t>
            </w:r>
          </w:p>
        </w:tc>
        <w:tc>
          <w:tcPr>
            <w:tcW w:w="1134"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2011</w:t>
            </w:r>
          </w:p>
        </w:tc>
        <w:tc>
          <w:tcPr>
            <w:tcW w:w="1134"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2012</w:t>
            </w:r>
          </w:p>
        </w:tc>
        <w:tc>
          <w:tcPr>
            <w:tcW w:w="992"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2013*)</w:t>
            </w:r>
          </w:p>
        </w:tc>
        <w:tc>
          <w:tcPr>
            <w:tcW w:w="992" w:type="dxa"/>
            <w:tcBorders>
              <w:top w:val="single" w:sz="4" w:space="0" w:color="000000"/>
              <w:bottom w:val="single" w:sz="4" w:space="0" w:color="000000"/>
            </w:tcBorders>
            <w:shd w:val="clear" w:color="auto" w:fill="D9D9D9" w:themeFill="background1" w:themeFillShade="D9"/>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2014**)</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Pertanian</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0,47</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4,70</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6,96</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7,44</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3,61</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Pertambangan dan Penggalian</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-1,28</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2,64</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-77,51</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-55,30</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-9,72</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3.</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Industri Pengolahan</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-4,08</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-9,55</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-8,45</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-7,71</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-5,41</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Industri Pengolahan (tanpa migas)</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11,04</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11,05</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9,79</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8,53</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10,12</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4.</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Listrik, Gas dan Air Minum</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11,78</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6,92</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0,52</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3,83</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5,57</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Bangunan dan Konstruksi</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4,62</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5,66</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7,78</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5,01</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5,49</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6.</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Perdagangan, Hotel dan Restoran</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4,07</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4,70</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4,47</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4,32</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4,52</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Pengangkutan dan Komunikasi</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4,63</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4,53</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17,85</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5,08</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5,49</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8.</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Keuangan, Persewaan dan Jasa</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5,60</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5,90</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5,89</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6,24</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6,47</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Jasa-Jasa</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5,08</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3,44</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7,82</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6,85</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Cs/>
                <w:iCs/>
                <w:color w:val="000000"/>
                <w:kern w:val="24"/>
                <w:sz w:val="18"/>
                <w:szCs w:val="18"/>
                <w:lang w:val="id-ID" w:eastAsia="id-ID"/>
              </w:rPr>
            </w:pPr>
            <w:r w:rsidRPr="009131BA">
              <w:rPr>
                <w:rFonts w:ascii="Cambria" w:hAnsi="Cambria" w:cs="Arial"/>
                <w:color w:val="000000"/>
                <w:kern w:val="24"/>
                <w:sz w:val="18"/>
                <w:szCs w:val="18"/>
                <w:lang w:val="id-ID" w:eastAsia="id-ID"/>
              </w:rPr>
              <w:t>7,43</w:t>
            </w:r>
          </w:p>
        </w:tc>
      </w:tr>
      <w:tr w:rsidR="00373FBC" w:rsidRPr="009131BA" w:rsidTr="00EF0F6E">
        <w:trPr>
          <w:trHeight w:val="300"/>
        </w:trPr>
        <w:tc>
          <w:tcPr>
            <w:tcW w:w="3276"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sz w:val="18"/>
                <w:szCs w:val="18"/>
                <w:lang w:val="id-ID" w:eastAsia="id-ID"/>
              </w:rPr>
            </w:pPr>
            <w:r w:rsidRPr="009131BA">
              <w:rPr>
                <w:rFonts w:ascii="Cambria" w:hAnsi="Cambria" w:cs="Arial"/>
                <w:b/>
                <w:color w:val="000000"/>
                <w:kern w:val="24"/>
                <w:sz w:val="18"/>
                <w:szCs w:val="18"/>
                <w:lang w:val="id-ID" w:eastAsia="id-ID"/>
              </w:rPr>
              <w:t>Total</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color w:val="000000"/>
                <w:kern w:val="24"/>
                <w:sz w:val="18"/>
                <w:szCs w:val="18"/>
                <w:lang w:val="id-ID" w:eastAsia="id-ID"/>
              </w:rPr>
            </w:pPr>
            <w:r w:rsidRPr="009131BA">
              <w:rPr>
                <w:rFonts w:ascii="Cambria" w:hAnsi="Cambria" w:cs="Arial"/>
                <w:b/>
                <w:color w:val="000000"/>
                <w:kern w:val="24"/>
                <w:sz w:val="18"/>
                <w:szCs w:val="18"/>
                <w:lang w:val="id-ID" w:eastAsia="id-ID"/>
              </w:rPr>
              <w:t>6,67</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color w:val="000000"/>
                <w:kern w:val="24"/>
                <w:sz w:val="18"/>
                <w:szCs w:val="18"/>
                <w:lang w:val="id-ID" w:eastAsia="id-ID"/>
              </w:rPr>
            </w:pPr>
            <w:r w:rsidRPr="009131BA">
              <w:rPr>
                <w:rFonts w:ascii="Cambria" w:hAnsi="Cambria" w:cs="Arial"/>
                <w:b/>
                <w:color w:val="000000"/>
                <w:kern w:val="24"/>
                <w:sz w:val="18"/>
                <w:szCs w:val="18"/>
                <w:lang w:val="id-ID" w:eastAsia="id-ID"/>
              </w:rPr>
              <w:t>7,31</w:t>
            </w:r>
          </w:p>
        </w:tc>
        <w:tc>
          <w:tcPr>
            <w:tcW w:w="1134"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color w:val="000000"/>
                <w:kern w:val="24"/>
                <w:sz w:val="18"/>
                <w:szCs w:val="18"/>
                <w:lang w:val="id-ID" w:eastAsia="id-ID"/>
              </w:rPr>
            </w:pPr>
            <w:r w:rsidRPr="009131BA">
              <w:rPr>
                <w:rFonts w:ascii="Cambria" w:hAnsi="Cambria" w:cs="Arial"/>
                <w:b/>
                <w:color w:val="000000"/>
                <w:kern w:val="24"/>
                <w:sz w:val="18"/>
                <w:szCs w:val="18"/>
                <w:lang w:val="id-ID" w:eastAsia="id-ID"/>
              </w:rPr>
              <w:t>6,6</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color w:val="000000"/>
                <w:kern w:val="24"/>
                <w:sz w:val="18"/>
                <w:szCs w:val="18"/>
                <w:lang w:val="id-ID" w:eastAsia="id-ID"/>
              </w:rPr>
            </w:pPr>
            <w:r w:rsidRPr="009131BA">
              <w:rPr>
                <w:rFonts w:ascii="Cambria" w:hAnsi="Cambria" w:cs="Arial"/>
                <w:b/>
                <w:color w:val="000000"/>
                <w:kern w:val="24"/>
                <w:sz w:val="18"/>
                <w:szCs w:val="18"/>
                <w:lang w:val="id-ID" w:eastAsia="id-ID"/>
              </w:rPr>
              <w:t>6,43</w:t>
            </w:r>
          </w:p>
        </w:tc>
        <w:tc>
          <w:tcPr>
            <w:tcW w:w="992" w:type="dxa"/>
            <w:tcBorders>
              <w:top w:val="single" w:sz="4" w:space="0" w:color="000000"/>
              <w:bottom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bottom"/>
              <w:rPr>
                <w:rFonts w:ascii="Cambria" w:hAnsi="Cambria" w:cs="Arial"/>
                <w:b/>
                <w:bCs/>
                <w:iCs/>
                <w:color w:val="000000"/>
                <w:kern w:val="24"/>
                <w:sz w:val="18"/>
                <w:szCs w:val="18"/>
                <w:lang w:val="id-ID" w:eastAsia="id-ID"/>
              </w:rPr>
            </w:pPr>
            <w:r w:rsidRPr="009131BA">
              <w:rPr>
                <w:rFonts w:ascii="Cambria" w:hAnsi="Cambria" w:cs="Arial"/>
                <w:b/>
                <w:color w:val="000000"/>
                <w:kern w:val="24"/>
                <w:sz w:val="18"/>
                <w:szCs w:val="18"/>
                <w:lang w:val="id-ID" w:eastAsia="id-ID"/>
              </w:rPr>
              <w:t>7,28</w:t>
            </w:r>
          </w:p>
        </w:tc>
      </w:tr>
    </w:tbl>
    <w:p w:rsidR="00373FBC" w:rsidRPr="009131BA" w:rsidRDefault="00373FBC" w:rsidP="00373FBC">
      <w:pPr>
        <w:pStyle w:val="Style1"/>
        <w:spacing w:before="0" w:line="276" w:lineRule="auto"/>
        <w:ind w:left="397" w:hanging="397"/>
        <w:rPr>
          <w:rFonts w:ascii="Cambria" w:hAnsi="Cambria"/>
          <w:b w:val="0"/>
          <w:sz w:val="18"/>
          <w:szCs w:val="18"/>
          <w:lang w:val="id-ID"/>
        </w:rPr>
      </w:pPr>
      <w:r w:rsidRPr="009131BA">
        <w:rPr>
          <w:rFonts w:ascii="Cambria" w:hAnsi="Cambria"/>
          <w:b w:val="0"/>
          <w:sz w:val="18"/>
          <w:szCs w:val="18"/>
          <w:lang w:val="id-ID"/>
        </w:rPr>
        <w:t>*) angka sementara</w:t>
      </w:r>
    </w:p>
    <w:p w:rsidR="00373FBC" w:rsidRPr="009131BA" w:rsidRDefault="00373FBC" w:rsidP="00373FBC">
      <w:pPr>
        <w:pStyle w:val="Style1"/>
        <w:spacing w:before="0" w:line="276" w:lineRule="auto"/>
        <w:ind w:left="397" w:hanging="397"/>
        <w:rPr>
          <w:rFonts w:ascii="Cambria" w:hAnsi="Cambria"/>
          <w:b w:val="0"/>
          <w:sz w:val="18"/>
          <w:szCs w:val="18"/>
          <w:lang w:val="id-ID"/>
        </w:rPr>
      </w:pPr>
      <w:r w:rsidRPr="009131BA">
        <w:rPr>
          <w:rFonts w:ascii="Cambria" w:hAnsi="Cambria"/>
          <w:b w:val="0"/>
          <w:sz w:val="18"/>
          <w:szCs w:val="18"/>
          <w:lang w:val="id-ID"/>
        </w:rPr>
        <w:t>**) angka sangat sementara</w:t>
      </w:r>
    </w:p>
    <w:p w:rsidR="00373FBC" w:rsidRPr="009131BA" w:rsidRDefault="00373FBC" w:rsidP="00373FBC">
      <w:pPr>
        <w:pStyle w:val="Style1"/>
        <w:spacing w:before="0" w:line="276" w:lineRule="auto"/>
        <w:ind w:left="397" w:hanging="397"/>
        <w:rPr>
          <w:rFonts w:ascii="Cambria" w:hAnsi="Cambria"/>
          <w:b w:val="0"/>
          <w:lang w:val="id-ID"/>
        </w:rPr>
      </w:pPr>
    </w:p>
    <w:p w:rsidR="00373FBC" w:rsidRPr="009131BA" w:rsidRDefault="00373FBC" w:rsidP="00EF0F6E">
      <w:pPr>
        <w:pStyle w:val="Style1"/>
        <w:spacing w:before="0"/>
        <w:ind w:left="709" w:hanging="425"/>
        <w:rPr>
          <w:rFonts w:ascii="Cambria" w:hAnsi="Cambria"/>
          <w:lang w:val="id-ID"/>
        </w:rPr>
      </w:pPr>
      <w:r w:rsidRPr="009131BA">
        <w:rPr>
          <w:rFonts w:ascii="Cambria" w:hAnsi="Cambria"/>
          <w:lang w:val="id-ID"/>
        </w:rPr>
        <w:t xml:space="preserve">b. </w:t>
      </w:r>
      <w:r w:rsidR="00EF0F6E">
        <w:rPr>
          <w:rFonts w:ascii="Cambria" w:hAnsi="Cambria"/>
          <w:lang w:val="id-ID"/>
        </w:rPr>
        <w:tab/>
      </w:r>
      <w:r w:rsidRPr="009131BA">
        <w:rPr>
          <w:rFonts w:ascii="Cambria" w:hAnsi="Cambria"/>
          <w:lang w:val="id-ID"/>
        </w:rPr>
        <w:t>Struktur Ekonomi</w:t>
      </w: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 xml:space="preserve">Kota Bontang merupakan salah satu daerah yang memiliki nilai PDRB tertinggi di Indonesia. Pada tahun 2014 total PDRB Kota Bontang dengan migas mencapai ± Rp. 74,3 Triliun. Dari total PDRB tersebut 94,45 persen dihasilkan </w:t>
      </w:r>
      <w:r w:rsidRPr="009131BA">
        <w:rPr>
          <w:rFonts w:ascii="Cambria" w:hAnsi="Cambria"/>
          <w:b w:val="0"/>
          <w:lang w:val="id-ID"/>
        </w:rPr>
        <w:lastRenderedPageBreak/>
        <w:t>oleh sektor industri pengolahan dan sebagian besarnya adalah kontribusi industri pengolahan gas alam cair dan kimia. Tingginya nilai PDRB tersebut sering disalah persepsikan dengan memberi label Kota Bontang sebagai daerah kaya sumber daya alam. Pada kenyataannya Kota Bontang hanyalah daerah pengolah, sedangkan sumber daya alam (gas) yang diolah bersumber dari Kabupaten Kutai Kartanegara.</w:t>
      </w:r>
    </w:p>
    <w:p w:rsidR="009131BA" w:rsidRPr="009131BA" w:rsidRDefault="00373FBC" w:rsidP="00EF0F6E">
      <w:pPr>
        <w:pStyle w:val="Style1"/>
        <w:spacing w:before="0"/>
        <w:ind w:left="709" w:firstLine="567"/>
        <w:rPr>
          <w:rFonts w:ascii="Cambria" w:hAnsi="Cambria"/>
          <w:b w:val="0"/>
          <w:lang w:val="en-US"/>
        </w:rPr>
      </w:pPr>
      <w:r w:rsidRPr="009131BA">
        <w:rPr>
          <w:rFonts w:ascii="Cambria" w:hAnsi="Cambria"/>
          <w:b w:val="0"/>
          <w:lang w:val="id-ID"/>
        </w:rPr>
        <w:t>Dengan status sebagai daerah kota, kontribusi sektor tersier pada tahun 2014 baru mampu menyumbang 2,84 persen terhadap total PDRB. Namun demikian dengan tidak memasukkan unsur pengolahan migas, kontribusi sektor tersier mencapai 14,59 persen. Struktur ekonomi Kota Bontang dapat dilihat pada tabel berikut:</w:t>
      </w: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 xml:space="preserve">Tabel </w:t>
      </w:r>
      <w:r w:rsidR="002B086A">
        <w:rPr>
          <w:rFonts w:ascii="Cambria" w:hAnsi="Cambria"/>
          <w:b w:val="0"/>
          <w:lang w:val="id-ID"/>
        </w:rPr>
        <w:t>2</w:t>
      </w:r>
      <w:r w:rsidRPr="009131BA">
        <w:rPr>
          <w:rFonts w:ascii="Cambria" w:hAnsi="Cambria"/>
          <w:b w:val="0"/>
          <w:lang w:val="id-ID"/>
        </w:rPr>
        <w:t>.2</w:t>
      </w: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Struktur Ekonomi Kota Bontang</w:t>
      </w: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Tahun 2014</w:t>
      </w:r>
    </w:p>
    <w:p w:rsidR="00373FBC" w:rsidRPr="009131BA" w:rsidRDefault="00373FBC" w:rsidP="00373FBC">
      <w:pPr>
        <w:pStyle w:val="Style1"/>
        <w:spacing w:before="0" w:line="240" w:lineRule="auto"/>
        <w:jc w:val="center"/>
        <w:rPr>
          <w:rFonts w:ascii="Cambria" w:hAnsi="Cambria"/>
          <w:b w:val="0"/>
          <w:lang w:val="id-ID"/>
        </w:rPr>
      </w:pPr>
    </w:p>
    <w:tbl>
      <w:tblPr>
        <w:tblW w:w="8662" w:type="dxa"/>
        <w:tblInd w:w="724" w:type="dxa"/>
        <w:tblCellMar>
          <w:left w:w="0" w:type="dxa"/>
          <w:right w:w="0" w:type="dxa"/>
        </w:tblCellMar>
        <w:tblLook w:val="0600"/>
      </w:tblPr>
      <w:tblGrid>
        <w:gridCol w:w="2709"/>
        <w:gridCol w:w="1275"/>
        <w:gridCol w:w="1276"/>
        <w:gridCol w:w="1276"/>
        <w:gridCol w:w="1134"/>
        <w:gridCol w:w="992"/>
      </w:tblGrid>
      <w:tr w:rsidR="00373FBC" w:rsidRPr="009131BA" w:rsidTr="00EF0F6E">
        <w:trPr>
          <w:trHeight w:val="255"/>
        </w:trPr>
        <w:tc>
          <w:tcPr>
            <w:tcW w:w="27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Lapangan Usaha</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PDRB (Juta Rupiah)</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Pertumbuhan (%) ADHK</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Distribusi</w:t>
            </w:r>
          </w:p>
        </w:tc>
      </w:tr>
      <w:tr w:rsidR="00373FBC" w:rsidRPr="009131BA" w:rsidTr="00EF0F6E">
        <w:trPr>
          <w:trHeight w:val="480"/>
        </w:trPr>
        <w:tc>
          <w:tcPr>
            <w:tcW w:w="2709" w:type="dxa"/>
            <w:vMerge/>
            <w:tcBorders>
              <w:top w:val="single" w:sz="4" w:space="0" w:color="000000"/>
              <w:left w:val="single" w:sz="4" w:space="0" w:color="000000"/>
              <w:bottom w:val="single" w:sz="4" w:space="0" w:color="000000"/>
              <w:right w:val="single" w:sz="4" w:space="0" w:color="000000"/>
            </w:tcBorders>
            <w:vAlign w:val="center"/>
            <w:hideMark/>
          </w:tcPr>
          <w:p w:rsidR="00373FBC" w:rsidRPr="009131BA" w:rsidRDefault="00373FBC" w:rsidP="005C04B9">
            <w:pPr>
              <w:rPr>
                <w:rFonts w:ascii="Cambria" w:hAnsi="Cambria" w:cs="Arial"/>
                <w:bCs/>
                <w:iCs/>
                <w:sz w:val="18"/>
                <w:szCs w:val="18"/>
                <w:lang w:val="id-ID" w:eastAsia="id-ID"/>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ADHK</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73FBC" w:rsidRPr="009131BA" w:rsidRDefault="00373FBC" w:rsidP="005C04B9">
            <w:pPr>
              <w:rPr>
                <w:rFonts w:ascii="Cambria" w:hAnsi="Cambria" w:cs="Arial"/>
                <w:bCs/>
                <w:iCs/>
                <w:sz w:val="18"/>
                <w:szCs w:val="18"/>
                <w:lang w:val="id-ID" w:eastAsia="id-ID"/>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dengan Migas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Tanpa Migas</w:t>
            </w:r>
          </w:p>
        </w:tc>
      </w:tr>
      <w:tr w:rsidR="00373FBC" w:rsidRPr="009131BA" w:rsidTr="00EF0F6E">
        <w:trPr>
          <w:trHeight w:val="300"/>
        </w:trPr>
        <w:tc>
          <w:tcPr>
            <w:tcW w:w="2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Primer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75.247,92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39.889,52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0,10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0,52</w:t>
            </w:r>
          </w:p>
        </w:tc>
      </w:tr>
      <w:tr w:rsidR="00373FBC" w:rsidRPr="009131BA" w:rsidTr="00EF0F6E">
        <w:trPr>
          <w:trHeight w:val="300"/>
        </w:trPr>
        <w:tc>
          <w:tcPr>
            <w:tcW w:w="2709"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Pertanian</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70.601,70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34.943,41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3,61</w:t>
            </w:r>
          </w:p>
        </w:tc>
        <w:tc>
          <w:tcPr>
            <w:tcW w:w="1134"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0,10</w:t>
            </w:r>
          </w:p>
        </w:tc>
        <w:tc>
          <w:tcPr>
            <w:tcW w:w="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0,49</w:t>
            </w:r>
          </w:p>
        </w:tc>
      </w:tr>
      <w:tr w:rsidR="00373FBC" w:rsidRPr="009131BA" w:rsidTr="00EF0F6E">
        <w:trPr>
          <w:trHeight w:val="300"/>
        </w:trPr>
        <w:tc>
          <w:tcPr>
            <w:tcW w:w="2709"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Pertambangan dan Penggalian</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4.646,22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4.946,11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-9,72</w:t>
            </w:r>
          </w:p>
        </w:tc>
        <w:tc>
          <w:tcPr>
            <w:tcW w:w="1134"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0,01</w:t>
            </w:r>
          </w:p>
        </w:tc>
        <w:tc>
          <w:tcPr>
            <w:tcW w:w="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0,03</w:t>
            </w:r>
          </w:p>
        </w:tc>
      </w:tr>
      <w:tr w:rsidR="00373FBC" w:rsidRPr="009131BA" w:rsidTr="00EF0F6E">
        <w:trPr>
          <w:trHeight w:val="300"/>
        </w:trPr>
        <w:tc>
          <w:tcPr>
            <w:tcW w:w="2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Sekunder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72.115.402,42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16.513.645,18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97,06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84,89</w:t>
            </w:r>
          </w:p>
        </w:tc>
      </w:tr>
      <w:tr w:rsidR="00373FBC" w:rsidRPr="009131BA" w:rsidTr="00EF0F6E">
        <w:trPr>
          <w:trHeight w:val="300"/>
        </w:trPr>
        <w:tc>
          <w:tcPr>
            <w:tcW w:w="2709"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3.</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Industri Pengolahan</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70.179.253,84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15.250.506,82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-5,41</w:t>
            </w:r>
          </w:p>
        </w:tc>
        <w:tc>
          <w:tcPr>
            <w:tcW w:w="1134"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94,45</w:t>
            </w:r>
          </w:p>
        </w:tc>
        <w:tc>
          <w:tcPr>
            <w:tcW w:w="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71,50</w:t>
            </w:r>
          </w:p>
        </w:tc>
      </w:tr>
      <w:tr w:rsidR="00373FBC" w:rsidRPr="009131BA" w:rsidTr="00EF0F6E">
        <w:trPr>
          <w:trHeight w:val="300"/>
        </w:trPr>
        <w:tc>
          <w:tcPr>
            <w:tcW w:w="2709"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4.</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Listrik, Gas dan Air Minum</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43.973,69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17.447,04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5,57</w:t>
            </w:r>
          </w:p>
        </w:tc>
        <w:tc>
          <w:tcPr>
            <w:tcW w:w="1134"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0,06</w:t>
            </w:r>
          </w:p>
        </w:tc>
        <w:tc>
          <w:tcPr>
            <w:tcW w:w="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0,30</w:t>
            </w:r>
          </w:p>
        </w:tc>
      </w:tr>
      <w:tr w:rsidR="00373FBC" w:rsidRPr="009131BA" w:rsidTr="00EF0F6E">
        <w:trPr>
          <w:trHeight w:val="300"/>
        </w:trPr>
        <w:tc>
          <w:tcPr>
            <w:tcW w:w="2709"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Bangunan dan Konstruksi</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1.892.174,89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1.245.691,32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5,49</w:t>
            </w:r>
          </w:p>
        </w:tc>
        <w:tc>
          <w:tcPr>
            <w:tcW w:w="1134"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2,55</w:t>
            </w:r>
          </w:p>
        </w:tc>
        <w:tc>
          <w:tcPr>
            <w:tcW w:w="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13,08</w:t>
            </w:r>
          </w:p>
        </w:tc>
      </w:tr>
      <w:tr w:rsidR="00373FBC" w:rsidRPr="009131BA" w:rsidTr="00EF0F6E">
        <w:trPr>
          <w:trHeight w:val="300"/>
        </w:trPr>
        <w:tc>
          <w:tcPr>
            <w:tcW w:w="2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Tersier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2.110.422,13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966.638,08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2,84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14,59</w:t>
            </w:r>
          </w:p>
        </w:tc>
      </w:tr>
      <w:tr w:rsidR="00373FBC" w:rsidRPr="009131BA" w:rsidTr="00EF0F6E">
        <w:trPr>
          <w:trHeight w:val="300"/>
        </w:trPr>
        <w:tc>
          <w:tcPr>
            <w:tcW w:w="2709"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6.</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Perdagangan, Hotel dan Restoran</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1.150.797,08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538.610,40 </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4,52</w:t>
            </w:r>
          </w:p>
        </w:tc>
        <w:tc>
          <w:tcPr>
            <w:tcW w:w="1134"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1,55</w:t>
            </w:r>
          </w:p>
        </w:tc>
        <w:tc>
          <w:tcPr>
            <w:tcW w:w="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7,96</w:t>
            </w:r>
          </w:p>
        </w:tc>
      </w:tr>
      <w:tr w:rsidR="00373FBC" w:rsidRPr="009131BA" w:rsidTr="00EF0F6E">
        <w:trPr>
          <w:trHeight w:val="300"/>
        </w:trPr>
        <w:tc>
          <w:tcPr>
            <w:tcW w:w="2709"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lastRenderedPageBreak/>
              <w:t>7.</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Pengangkutan dan Komunikasi</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248.842,26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149.450,89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5,49</w:t>
            </w:r>
          </w:p>
        </w:tc>
        <w:tc>
          <w:tcPr>
            <w:tcW w:w="1134"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0,33</w:t>
            </w:r>
          </w:p>
        </w:tc>
        <w:tc>
          <w:tcPr>
            <w:tcW w:w="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1,72</w:t>
            </w:r>
          </w:p>
        </w:tc>
      </w:tr>
      <w:tr w:rsidR="00373FBC" w:rsidRPr="009131BA" w:rsidTr="00EF0F6E">
        <w:trPr>
          <w:trHeight w:val="300"/>
        </w:trPr>
        <w:tc>
          <w:tcPr>
            <w:tcW w:w="2709"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8.</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Keuangan, Persewaan dan Jasa</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352.528,34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156.042,89 </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6,47</w:t>
            </w:r>
          </w:p>
        </w:tc>
        <w:tc>
          <w:tcPr>
            <w:tcW w:w="1134"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0,47</w:t>
            </w:r>
          </w:p>
        </w:tc>
        <w:tc>
          <w:tcPr>
            <w:tcW w:w="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2,44</w:t>
            </w:r>
          </w:p>
        </w:tc>
      </w:tr>
      <w:tr w:rsidR="00373FBC" w:rsidRPr="009131BA" w:rsidTr="00EF0F6E">
        <w:trPr>
          <w:trHeight w:val="300"/>
        </w:trPr>
        <w:tc>
          <w:tcPr>
            <w:tcW w:w="2709"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Jasa-Jasa</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358.254,45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xml:space="preserve">           122.533,90 </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7,43</w:t>
            </w:r>
          </w:p>
        </w:tc>
        <w:tc>
          <w:tcPr>
            <w:tcW w:w="1134"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0,48</w:t>
            </w:r>
          </w:p>
        </w:tc>
        <w:tc>
          <w:tcPr>
            <w:tcW w:w="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2,48</w:t>
            </w:r>
          </w:p>
        </w:tc>
      </w:tr>
      <w:tr w:rsidR="00373FBC" w:rsidRPr="009131BA" w:rsidTr="00EF0F6E">
        <w:trPr>
          <w:trHeight w:val="300"/>
        </w:trPr>
        <w:tc>
          <w:tcPr>
            <w:tcW w:w="2709"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PDRB</w:t>
            </w:r>
          </w:p>
        </w:tc>
        <w:tc>
          <w:tcPr>
            <w:tcW w:w="1275"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74.301.072,47 </w:t>
            </w:r>
          </w:p>
        </w:tc>
        <w:tc>
          <w:tcPr>
            <w:tcW w:w="1276"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17.520.172,78 </w:t>
            </w:r>
          </w:p>
        </w:tc>
        <w:tc>
          <w:tcPr>
            <w:tcW w:w="1276"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-4,14</w:t>
            </w:r>
          </w:p>
        </w:tc>
        <w:tc>
          <w:tcPr>
            <w:tcW w:w="1134"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c>
          <w:tcPr>
            <w:tcW w:w="992"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r>
      <w:tr w:rsidR="00373FBC" w:rsidRPr="009131BA" w:rsidTr="00EF0F6E">
        <w:trPr>
          <w:trHeight w:val="300"/>
        </w:trPr>
        <w:tc>
          <w:tcPr>
            <w:tcW w:w="2709" w:type="dxa"/>
            <w:tcBorders>
              <w:top w:val="nil"/>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PDRB </w:t>
            </w:r>
            <w:r w:rsidRPr="009131BA">
              <w:rPr>
                <w:rFonts w:ascii="Cambria" w:hAnsi="Cambria" w:cs="Arial"/>
                <w:color w:val="000000"/>
                <w:kern w:val="24"/>
                <w:sz w:val="18"/>
                <w:szCs w:val="18"/>
                <w:lang w:val="id-ID" w:eastAsia="id-ID"/>
              </w:rPr>
              <w:t>(Tanpa Migas)</w:t>
            </w:r>
          </w:p>
        </w:tc>
        <w:tc>
          <w:tcPr>
            <w:tcW w:w="1275" w:type="dxa"/>
            <w:tcBorders>
              <w:top w:val="nil"/>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14.461.420,79 </w:t>
            </w:r>
          </w:p>
        </w:tc>
        <w:tc>
          <w:tcPr>
            <w:tcW w:w="1276" w:type="dxa"/>
            <w:tcBorders>
              <w:top w:val="nil"/>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right"/>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 xml:space="preserve">        3.869.041,54 </w:t>
            </w:r>
          </w:p>
        </w:tc>
        <w:tc>
          <w:tcPr>
            <w:tcW w:w="1276" w:type="dxa"/>
            <w:tcBorders>
              <w:top w:val="nil"/>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7,28</w:t>
            </w:r>
          </w:p>
        </w:tc>
        <w:tc>
          <w:tcPr>
            <w:tcW w:w="1134"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rsidR="00373FBC" w:rsidRPr="009131BA" w:rsidRDefault="00373FBC" w:rsidP="005C04B9">
            <w:pPr>
              <w:textAlignment w:val="bottom"/>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w:t>
            </w:r>
          </w:p>
        </w:tc>
        <w:tc>
          <w:tcPr>
            <w:tcW w:w="992"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textAlignment w:val="bottom"/>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 </w:t>
            </w:r>
          </w:p>
        </w:tc>
      </w:tr>
    </w:tbl>
    <w:p w:rsidR="00373FBC" w:rsidRPr="009131BA" w:rsidRDefault="00373FBC" w:rsidP="00EF0F6E">
      <w:pPr>
        <w:pStyle w:val="Style1"/>
        <w:spacing w:before="0" w:line="276" w:lineRule="auto"/>
        <w:ind w:firstLine="709"/>
        <w:rPr>
          <w:rFonts w:ascii="Cambria" w:hAnsi="Cambria"/>
          <w:b w:val="0"/>
          <w:i/>
          <w:sz w:val="20"/>
          <w:szCs w:val="20"/>
          <w:lang w:val="id-ID"/>
        </w:rPr>
      </w:pPr>
      <w:r w:rsidRPr="009131BA">
        <w:rPr>
          <w:rFonts w:ascii="Cambria" w:hAnsi="Cambria"/>
          <w:b w:val="0"/>
          <w:i/>
          <w:sz w:val="20"/>
          <w:szCs w:val="20"/>
          <w:lang w:val="id-ID"/>
        </w:rPr>
        <w:t>Sumber: Bontang Dalam Angka 2014</w:t>
      </w:r>
    </w:p>
    <w:p w:rsidR="00373FBC" w:rsidRPr="009131BA" w:rsidRDefault="00373FBC" w:rsidP="00373FBC">
      <w:pPr>
        <w:pStyle w:val="Style1"/>
        <w:spacing w:before="0" w:line="276" w:lineRule="auto"/>
        <w:ind w:firstLine="720"/>
        <w:rPr>
          <w:rFonts w:ascii="Cambria" w:hAnsi="Cambria"/>
          <w:b w:val="0"/>
          <w:lang w:val="id-ID"/>
        </w:rPr>
      </w:pP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 xml:space="preserve">Berdasarkan distribusi PDRB Kota Bontang dengan dan tanpa migas dalam periode 2013-2014, terlihat bahwa tidak terjadi perubahan signifikan dari struktur ekonomi Kota Bontang. </w:t>
      </w:r>
    </w:p>
    <w:p w:rsidR="00373FBC" w:rsidRPr="009131BA" w:rsidRDefault="00373FBC" w:rsidP="00373FBC">
      <w:pPr>
        <w:pStyle w:val="Style1"/>
        <w:spacing w:before="0" w:line="276" w:lineRule="auto"/>
        <w:ind w:left="397" w:hanging="397"/>
        <w:jc w:val="center"/>
        <w:rPr>
          <w:rFonts w:ascii="Cambria" w:hAnsi="Cambria"/>
          <w:b w:val="0"/>
          <w:lang w:val="id-ID"/>
        </w:rPr>
      </w:pPr>
      <w:r w:rsidRPr="009131BA">
        <w:rPr>
          <w:rFonts w:ascii="Cambria" w:hAnsi="Cambria"/>
          <w:b w:val="0"/>
          <w:lang w:val="id-ID"/>
        </w:rPr>
        <w:t xml:space="preserve">Tabel </w:t>
      </w:r>
      <w:r w:rsidR="002B086A">
        <w:rPr>
          <w:rFonts w:ascii="Cambria" w:hAnsi="Cambria"/>
          <w:b w:val="0"/>
          <w:lang w:val="id-ID"/>
        </w:rPr>
        <w:t>2</w:t>
      </w:r>
      <w:r w:rsidRPr="009131BA">
        <w:rPr>
          <w:rFonts w:ascii="Cambria" w:hAnsi="Cambria"/>
          <w:b w:val="0"/>
          <w:lang w:val="id-ID"/>
        </w:rPr>
        <w:t>.3</w:t>
      </w:r>
    </w:p>
    <w:p w:rsidR="00373FBC" w:rsidRPr="009131BA" w:rsidRDefault="00373FBC" w:rsidP="00373FBC">
      <w:pPr>
        <w:pStyle w:val="Style1"/>
        <w:spacing w:before="0" w:line="240" w:lineRule="auto"/>
        <w:jc w:val="center"/>
        <w:rPr>
          <w:rFonts w:ascii="Cambria" w:hAnsi="Cambria"/>
          <w:b w:val="0"/>
          <w:lang w:val="id-ID"/>
        </w:rPr>
      </w:pPr>
      <w:r w:rsidRPr="009131BA">
        <w:rPr>
          <w:rFonts w:ascii="Cambria" w:hAnsi="Cambria"/>
          <w:b w:val="0"/>
          <w:lang w:val="id-ID"/>
        </w:rPr>
        <w:t>Distribusi PDRB Kota Bontang</w:t>
      </w:r>
    </w:p>
    <w:p w:rsidR="00373FBC" w:rsidRPr="009131BA" w:rsidRDefault="00373FBC" w:rsidP="00373FBC">
      <w:pPr>
        <w:pStyle w:val="Style1"/>
        <w:spacing w:before="0" w:line="276" w:lineRule="auto"/>
        <w:jc w:val="center"/>
        <w:rPr>
          <w:rFonts w:ascii="Cambria" w:hAnsi="Cambria"/>
          <w:b w:val="0"/>
          <w:lang w:val="id-ID"/>
        </w:rPr>
      </w:pPr>
      <w:r w:rsidRPr="009131BA">
        <w:rPr>
          <w:rFonts w:ascii="Cambria" w:hAnsi="Cambria"/>
          <w:b w:val="0"/>
          <w:lang w:val="id-ID"/>
        </w:rPr>
        <w:t>Tahun 2013-2014</w:t>
      </w:r>
    </w:p>
    <w:tbl>
      <w:tblPr>
        <w:tblW w:w="8095" w:type="dxa"/>
        <w:tblInd w:w="724" w:type="dxa"/>
        <w:tblCellMar>
          <w:left w:w="0" w:type="dxa"/>
          <w:right w:w="0" w:type="dxa"/>
        </w:tblCellMar>
        <w:tblLook w:val="0600"/>
      </w:tblPr>
      <w:tblGrid>
        <w:gridCol w:w="2992"/>
        <w:gridCol w:w="1276"/>
        <w:gridCol w:w="1276"/>
        <w:gridCol w:w="1275"/>
        <w:gridCol w:w="1276"/>
      </w:tblGrid>
      <w:tr w:rsidR="00373FBC" w:rsidRPr="009131BA" w:rsidTr="00EF0F6E">
        <w:trPr>
          <w:trHeight w:val="255"/>
        </w:trPr>
        <w:tc>
          <w:tcPr>
            <w:tcW w:w="299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Lapangan Usaha</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2013</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spacing w:line="255" w:lineRule="atLeast"/>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2014</w:t>
            </w:r>
          </w:p>
        </w:tc>
      </w:tr>
      <w:tr w:rsidR="00373FBC" w:rsidRPr="009131BA" w:rsidTr="00EF0F6E">
        <w:trPr>
          <w:trHeight w:val="480"/>
        </w:trPr>
        <w:tc>
          <w:tcPr>
            <w:tcW w:w="2992" w:type="dxa"/>
            <w:vMerge/>
            <w:tcBorders>
              <w:top w:val="single" w:sz="4" w:space="0" w:color="000000"/>
              <w:left w:val="single" w:sz="4" w:space="0" w:color="000000"/>
              <w:bottom w:val="single" w:sz="4" w:space="0" w:color="000000"/>
              <w:right w:val="single" w:sz="4" w:space="0" w:color="000000"/>
            </w:tcBorders>
            <w:vAlign w:val="center"/>
            <w:hideMark/>
          </w:tcPr>
          <w:p w:rsidR="00373FBC" w:rsidRPr="009131BA" w:rsidRDefault="00373FBC" w:rsidP="005C04B9">
            <w:pPr>
              <w:rPr>
                <w:rFonts w:ascii="Cambria" w:hAnsi="Cambria" w:cs="Arial"/>
                <w:bCs/>
                <w:iCs/>
                <w:sz w:val="18"/>
                <w:szCs w:val="18"/>
                <w:lang w:val="id-ID" w:eastAsia="id-ID"/>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dengan Migas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Tanpa Migas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dengan Migas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373FBC" w:rsidRPr="009131BA" w:rsidRDefault="00373FBC" w:rsidP="005C04B9">
            <w:pPr>
              <w:jc w:val="center"/>
              <w:textAlignment w:val="bottom"/>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ADHB Tanpa Migas</w:t>
            </w:r>
          </w:p>
        </w:tc>
      </w:tr>
      <w:tr w:rsidR="00373FBC" w:rsidRPr="009131BA" w:rsidTr="00EF0F6E">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Primer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bCs/>
                <w:iCs/>
                <w:sz w:val="18"/>
                <w:szCs w:val="18"/>
                <w:lang w:val="id-ID" w:eastAsia="id-ID"/>
              </w:rPr>
            </w:pPr>
            <w:r w:rsidRPr="009131BA">
              <w:rPr>
                <w:rFonts w:ascii="Cambria" w:hAnsi="Cambria" w:cs="Arial"/>
                <w:b/>
                <w:sz w:val="18"/>
                <w:szCs w:val="18"/>
                <w:lang w:val="id-ID" w:eastAsia="id-ID"/>
              </w:rPr>
              <w:t>0,10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bCs/>
                <w:iCs/>
                <w:sz w:val="18"/>
                <w:szCs w:val="18"/>
                <w:lang w:val="id-ID" w:eastAsia="id-ID"/>
              </w:rPr>
            </w:pPr>
            <w:r w:rsidRPr="009131BA">
              <w:rPr>
                <w:rFonts w:ascii="Cambria" w:hAnsi="Cambria" w:cs="Arial"/>
                <w:b/>
                <w:sz w:val="18"/>
                <w:szCs w:val="18"/>
                <w:lang w:val="id-ID" w:eastAsia="id-ID"/>
              </w:rPr>
              <w:t>0,50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0,10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0,52</w:t>
            </w:r>
          </w:p>
        </w:tc>
      </w:tr>
      <w:tr w:rsidR="00373FBC" w:rsidRPr="009131BA" w:rsidTr="00EF0F6E">
        <w:trPr>
          <w:trHeight w:val="300"/>
        </w:trPr>
        <w:tc>
          <w:tcPr>
            <w:tcW w:w="2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Pertanian</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0,09</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0,50</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0,10</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0,49</w:t>
            </w:r>
          </w:p>
        </w:tc>
      </w:tr>
      <w:tr w:rsidR="00373FBC" w:rsidRPr="009131BA" w:rsidTr="00EF0F6E">
        <w:trPr>
          <w:trHeight w:val="300"/>
        </w:trPr>
        <w:tc>
          <w:tcPr>
            <w:tcW w:w="2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Pertambangan dan Penggalian</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0,01</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0,00</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0,01</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0,03</w:t>
            </w:r>
          </w:p>
        </w:tc>
      </w:tr>
      <w:tr w:rsidR="00373FBC" w:rsidRPr="009131BA" w:rsidTr="00EF0F6E">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Sekunder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bCs/>
                <w:iCs/>
                <w:sz w:val="18"/>
                <w:szCs w:val="18"/>
                <w:lang w:val="id-ID" w:eastAsia="id-ID"/>
              </w:rPr>
            </w:pPr>
            <w:r w:rsidRPr="009131BA">
              <w:rPr>
                <w:rFonts w:ascii="Cambria" w:hAnsi="Cambria" w:cs="Arial"/>
                <w:b/>
                <w:sz w:val="18"/>
                <w:szCs w:val="18"/>
                <w:lang w:val="id-ID" w:eastAsia="id-ID"/>
              </w:rPr>
              <w:t>97,22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iCs/>
                <w:color w:val="000000"/>
                <w:kern w:val="24"/>
                <w:sz w:val="18"/>
                <w:szCs w:val="18"/>
                <w:lang w:val="id-ID" w:eastAsia="id-ID"/>
              </w:rPr>
            </w:pPr>
            <w:r w:rsidRPr="009131BA">
              <w:rPr>
                <w:rFonts w:ascii="Cambria" w:hAnsi="Cambria" w:cs="Arial"/>
                <w:b/>
                <w:color w:val="000000"/>
                <w:kern w:val="24"/>
                <w:sz w:val="18"/>
                <w:szCs w:val="18"/>
                <w:lang w:val="id-ID" w:eastAsia="id-ID"/>
              </w:rPr>
              <w:t>84,56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97,06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84,89</w:t>
            </w:r>
          </w:p>
        </w:tc>
      </w:tr>
      <w:tr w:rsidR="00373FBC" w:rsidRPr="009131BA" w:rsidTr="00EF0F6E">
        <w:trPr>
          <w:trHeight w:val="300"/>
        </w:trPr>
        <w:tc>
          <w:tcPr>
            <w:tcW w:w="2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3.</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Industri Pengolahan</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94,69</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70,43</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94,45</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71,50</w:t>
            </w:r>
          </w:p>
        </w:tc>
      </w:tr>
      <w:tr w:rsidR="00373FBC" w:rsidRPr="009131BA" w:rsidTr="00EF0F6E">
        <w:trPr>
          <w:trHeight w:val="300"/>
        </w:trPr>
        <w:tc>
          <w:tcPr>
            <w:tcW w:w="2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4.</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Listrik, Gas dan Air Minum</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0,06</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0,33</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0,06</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0,30</w:t>
            </w:r>
          </w:p>
        </w:tc>
      </w:tr>
      <w:tr w:rsidR="00373FBC" w:rsidRPr="009131BA" w:rsidTr="00EF0F6E">
        <w:trPr>
          <w:trHeight w:val="300"/>
        </w:trPr>
        <w:tc>
          <w:tcPr>
            <w:tcW w:w="2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5.</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Bangunan dan Konstruksi</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2,47</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13,80</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2,55</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13,08</w:t>
            </w:r>
          </w:p>
        </w:tc>
      </w:tr>
      <w:tr w:rsidR="00373FBC" w:rsidRPr="009131BA" w:rsidTr="00EF0F6E">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Tersier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bCs/>
                <w:iCs/>
                <w:sz w:val="18"/>
                <w:szCs w:val="18"/>
                <w:lang w:val="id-ID" w:eastAsia="id-ID"/>
              </w:rPr>
            </w:pPr>
            <w:r w:rsidRPr="009131BA">
              <w:rPr>
                <w:rFonts w:ascii="Cambria" w:hAnsi="Cambria" w:cs="Arial"/>
                <w:b/>
                <w:sz w:val="18"/>
                <w:szCs w:val="18"/>
                <w:lang w:val="id-ID" w:eastAsia="id-ID"/>
              </w:rPr>
              <w:t>2,68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
                <w:iCs/>
                <w:color w:val="000000"/>
                <w:kern w:val="24"/>
                <w:sz w:val="18"/>
                <w:szCs w:val="18"/>
                <w:lang w:val="id-ID" w:eastAsia="id-ID"/>
              </w:rPr>
            </w:pPr>
            <w:r w:rsidRPr="009131BA">
              <w:rPr>
                <w:rFonts w:ascii="Cambria" w:hAnsi="Cambria" w:cs="Arial"/>
                <w:b/>
                <w:color w:val="000000"/>
                <w:kern w:val="24"/>
                <w:sz w:val="18"/>
                <w:szCs w:val="18"/>
                <w:lang w:val="id-ID" w:eastAsia="id-ID"/>
              </w:rPr>
              <w:t>13,94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2,84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14,59</w:t>
            </w:r>
          </w:p>
        </w:tc>
      </w:tr>
      <w:tr w:rsidR="00373FBC" w:rsidRPr="009131BA" w:rsidTr="00EF0F6E">
        <w:trPr>
          <w:trHeight w:val="300"/>
        </w:trPr>
        <w:tc>
          <w:tcPr>
            <w:tcW w:w="2992"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6.</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Perdagangan, Hotel dan Restoran</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1,47</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8,21</w:t>
            </w:r>
          </w:p>
        </w:tc>
        <w:tc>
          <w:tcPr>
            <w:tcW w:w="1275"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1,55</w:t>
            </w:r>
          </w:p>
        </w:tc>
        <w:tc>
          <w:tcPr>
            <w:tcW w:w="1276" w:type="dxa"/>
            <w:tcBorders>
              <w:top w:val="single"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7,96</w:t>
            </w:r>
          </w:p>
        </w:tc>
      </w:tr>
      <w:tr w:rsidR="00373FBC" w:rsidRPr="009131BA" w:rsidTr="00EF0F6E">
        <w:trPr>
          <w:trHeight w:val="300"/>
        </w:trPr>
        <w:tc>
          <w:tcPr>
            <w:tcW w:w="2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7.</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Pengangkutan dan Komunikasi</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0,32</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1,81</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0,33</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1,72</w:t>
            </w:r>
          </w:p>
        </w:tc>
      </w:tr>
      <w:tr w:rsidR="00373FBC" w:rsidRPr="009131BA" w:rsidTr="00EF0F6E">
        <w:trPr>
          <w:trHeight w:val="300"/>
        </w:trPr>
        <w:tc>
          <w:tcPr>
            <w:tcW w:w="2992"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nl-NL" w:eastAsia="id-ID"/>
              </w:rPr>
              <w:t>8.</w:t>
            </w:r>
            <w:r w:rsidRPr="009131BA">
              <w:rPr>
                <w:rFonts w:ascii="Cambria" w:hAnsi="Cambria"/>
                <w:color w:val="000000"/>
                <w:kern w:val="24"/>
                <w:sz w:val="18"/>
                <w:szCs w:val="18"/>
                <w:lang w:val="nl-NL" w:eastAsia="id-ID"/>
              </w:rPr>
              <w:t xml:space="preserve">     </w:t>
            </w:r>
            <w:r w:rsidRPr="009131BA">
              <w:rPr>
                <w:rFonts w:ascii="Cambria" w:hAnsi="Cambria" w:cs="Arial"/>
                <w:color w:val="000000"/>
                <w:kern w:val="24"/>
                <w:sz w:val="18"/>
                <w:szCs w:val="18"/>
                <w:lang w:val="nl-NL" w:eastAsia="id-ID"/>
              </w:rPr>
              <w:t>Keuangan, Persewaan dan Jasa</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0,44</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2,46</w:t>
            </w:r>
          </w:p>
        </w:tc>
        <w:tc>
          <w:tcPr>
            <w:tcW w:w="1275"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0,47</w:t>
            </w:r>
          </w:p>
        </w:tc>
        <w:tc>
          <w:tcPr>
            <w:tcW w:w="1276" w:type="dxa"/>
            <w:tcBorders>
              <w:top w:val="dotted" w:sz="4" w:space="0" w:color="000000"/>
              <w:left w:val="single" w:sz="4" w:space="0" w:color="000000"/>
              <w:bottom w:val="dotted"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2,44</w:t>
            </w:r>
          </w:p>
        </w:tc>
      </w:tr>
      <w:tr w:rsidR="00373FBC" w:rsidRPr="009131BA" w:rsidTr="00EF0F6E">
        <w:trPr>
          <w:trHeight w:val="300"/>
        </w:trPr>
        <w:tc>
          <w:tcPr>
            <w:tcW w:w="2992"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9.</w:t>
            </w:r>
            <w:r w:rsidRPr="009131BA">
              <w:rPr>
                <w:rFonts w:ascii="Cambria" w:hAnsi="Cambria"/>
                <w:color w:val="000000"/>
                <w:kern w:val="24"/>
                <w:sz w:val="18"/>
                <w:szCs w:val="18"/>
                <w:lang w:val="id-ID" w:eastAsia="id-ID"/>
              </w:rPr>
              <w:t xml:space="preserve">     </w:t>
            </w:r>
            <w:r w:rsidRPr="009131BA">
              <w:rPr>
                <w:rFonts w:ascii="Cambria" w:hAnsi="Cambria" w:cs="Arial"/>
                <w:color w:val="000000"/>
                <w:kern w:val="24"/>
                <w:sz w:val="18"/>
                <w:szCs w:val="18"/>
                <w:lang w:val="id-ID" w:eastAsia="id-ID"/>
              </w:rPr>
              <w:t>Jasa-Jasa</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sz w:val="18"/>
                <w:szCs w:val="18"/>
                <w:lang w:val="id-ID" w:eastAsia="id-ID"/>
              </w:rPr>
              <w:t>0,44</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iCs/>
                <w:color w:val="000000"/>
                <w:kern w:val="24"/>
                <w:sz w:val="18"/>
                <w:szCs w:val="18"/>
                <w:lang w:val="id-ID" w:eastAsia="id-ID"/>
              </w:rPr>
            </w:pPr>
            <w:r w:rsidRPr="009131BA">
              <w:rPr>
                <w:rFonts w:ascii="Cambria" w:hAnsi="Cambria" w:cs="Arial"/>
                <w:color w:val="000000"/>
                <w:kern w:val="24"/>
                <w:sz w:val="18"/>
                <w:szCs w:val="18"/>
                <w:lang w:val="id-ID" w:eastAsia="id-ID"/>
              </w:rPr>
              <w:t>2,46</w:t>
            </w:r>
          </w:p>
        </w:tc>
        <w:tc>
          <w:tcPr>
            <w:tcW w:w="1275"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0,48</w:t>
            </w:r>
          </w:p>
        </w:tc>
        <w:tc>
          <w:tcPr>
            <w:tcW w:w="1276" w:type="dxa"/>
            <w:tcBorders>
              <w:top w:val="dotted"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2,48</w:t>
            </w:r>
          </w:p>
        </w:tc>
      </w:tr>
      <w:tr w:rsidR="00373FBC" w:rsidRPr="009131BA" w:rsidTr="00EF0F6E">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both"/>
              <w:textAlignment w:val="center"/>
              <w:rPr>
                <w:rFonts w:ascii="Cambria" w:hAnsi="Cambria" w:cs="Arial"/>
                <w:bCs/>
                <w:iCs/>
                <w:sz w:val="18"/>
                <w:szCs w:val="18"/>
                <w:lang w:val="id-ID" w:eastAsia="id-ID"/>
              </w:rPr>
            </w:pPr>
            <w:r w:rsidRPr="009131BA">
              <w:rPr>
                <w:rFonts w:ascii="Cambria" w:hAnsi="Cambria" w:cs="Arial"/>
                <w:b/>
                <w:color w:val="000000"/>
                <w:kern w:val="24"/>
                <w:sz w:val="18"/>
                <w:szCs w:val="18"/>
                <w:lang w:val="id-ID" w:eastAsia="id-ID"/>
              </w:rPr>
              <w:t>PDRB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373FBC" w:rsidRPr="009131BA" w:rsidRDefault="00373FBC" w:rsidP="005C04B9">
            <w:pPr>
              <w:jc w:val="center"/>
              <w:textAlignment w:val="center"/>
              <w:rPr>
                <w:rFonts w:ascii="Cambria" w:hAnsi="Cambria" w:cs="Arial"/>
                <w:bCs/>
                <w:iCs/>
                <w:sz w:val="18"/>
                <w:szCs w:val="18"/>
                <w:lang w:val="id-ID" w:eastAsia="id-ID"/>
              </w:rPr>
            </w:pPr>
            <w:r w:rsidRPr="009131BA">
              <w:rPr>
                <w:rFonts w:ascii="Cambria" w:hAnsi="Cambria" w:cs="Arial"/>
                <w:color w:val="000000"/>
                <w:kern w:val="24"/>
                <w:sz w:val="18"/>
                <w:szCs w:val="18"/>
                <w:lang w:val="id-ID" w:eastAsia="id-ID"/>
              </w:rPr>
              <w:t>100,00</w:t>
            </w:r>
          </w:p>
        </w:tc>
      </w:tr>
    </w:tbl>
    <w:p w:rsidR="00373FBC" w:rsidRPr="009131BA" w:rsidRDefault="00373FBC" w:rsidP="00373FBC">
      <w:pPr>
        <w:pStyle w:val="Style1"/>
        <w:spacing w:before="0" w:line="276" w:lineRule="auto"/>
        <w:rPr>
          <w:rFonts w:ascii="Cambria" w:hAnsi="Cambria"/>
          <w:b w:val="0"/>
          <w:sz w:val="20"/>
          <w:szCs w:val="20"/>
          <w:lang w:val="id-ID"/>
        </w:rPr>
      </w:pPr>
    </w:p>
    <w:p w:rsidR="00373FBC" w:rsidRPr="009131BA" w:rsidRDefault="00373FBC" w:rsidP="00EF0F6E">
      <w:pPr>
        <w:pStyle w:val="Style1"/>
        <w:spacing w:before="0"/>
        <w:ind w:left="709"/>
        <w:rPr>
          <w:rFonts w:ascii="Cambria" w:hAnsi="Cambria"/>
          <w:b w:val="0"/>
          <w:lang w:val="id-ID"/>
        </w:rPr>
      </w:pPr>
      <w:r w:rsidRPr="009131BA">
        <w:rPr>
          <w:rFonts w:ascii="Cambria" w:hAnsi="Cambria"/>
          <w:b w:val="0"/>
          <w:lang w:val="id-ID"/>
        </w:rPr>
        <w:t>Sektor ekonomi dalam lingkup sektor sekunder masih sangat mendominasi struktur ekonomi Kota Bontang baik dengan dan tanpa migas. Industri pengolahan merupakan sektor utama pembentuk PDRB Kota Bontang. Sektor Bangunan dan Konstruksi menunjukkan peran yang cukup signifikan dalam PDRB tanpa migas pada tahun 2014 dengan kontribusi mencapai 13%, meskipun kontribusinya relatif jauh lebih kecil dibandingkan sektor industri. Sektor ekonomi tersier sebagai salah satu ciri sektor ekonomi perkotaan tercatat menyumbang 14,59% dengan sektor perdagangan sebagai kontributor utama mecapai 7,96% pada tahun 2014.</w:t>
      </w:r>
    </w:p>
    <w:p w:rsidR="00373FBC" w:rsidRPr="009131BA" w:rsidRDefault="00373FBC" w:rsidP="00373FBC">
      <w:pPr>
        <w:pStyle w:val="Style1"/>
        <w:spacing w:before="0" w:line="276" w:lineRule="auto"/>
        <w:rPr>
          <w:rFonts w:ascii="Cambria" w:hAnsi="Cambria"/>
          <w:b w:val="0"/>
          <w:i/>
          <w:sz w:val="20"/>
          <w:szCs w:val="20"/>
          <w:lang w:val="id-ID"/>
        </w:rPr>
      </w:pPr>
    </w:p>
    <w:p w:rsidR="00373FBC" w:rsidRPr="009131BA" w:rsidRDefault="00373FBC" w:rsidP="00EF0F6E">
      <w:pPr>
        <w:pStyle w:val="Style1"/>
        <w:spacing w:before="0"/>
        <w:ind w:left="709" w:hanging="425"/>
        <w:rPr>
          <w:rFonts w:ascii="Cambria" w:hAnsi="Cambria"/>
          <w:lang w:val="id-ID"/>
        </w:rPr>
      </w:pPr>
      <w:r w:rsidRPr="009131BA">
        <w:rPr>
          <w:rFonts w:ascii="Cambria" w:hAnsi="Cambria"/>
          <w:lang w:val="id-ID"/>
        </w:rPr>
        <w:t xml:space="preserve">c. </w:t>
      </w:r>
      <w:r w:rsidR="00EF0F6E">
        <w:rPr>
          <w:rFonts w:ascii="Cambria" w:hAnsi="Cambria"/>
          <w:lang w:val="id-ID"/>
        </w:rPr>
        <w:tab/>
      </w:r>
      <w:r w:rsidRPr="009131BA">
        <w:rPr>
          <w:rFonts w:ascii="Cambria" w:hAnsi="Cambria"/>
          <w:lang w:val="id-ID"/>
        </w:rPr>
        <w:t>PDRB per Kapita dan Pendapatan per Kapita</w:t>
      </w: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PDRB per kapita adalah salah satu indikator yang umumnya digunakan untuk mengukur tingkat kemakmuran yang dicapai oleh penduduk suatu daerah. Indikator ini menggambarkan nilai tambah yang dihasilkan per jiwa dalam satu entitas wilayah dalam satu tahun. Dengan mengurangkan penyusutan dan pajak tidak langsung, maka diperoleh pendapatan per kapita. Dengan penyajian secara berkala data pendapatan per kapita, selanjutnya dapat dilihat perubahan tingkat kemakmuran masyarakat suatu daerah. Namun demikian indikator ini tidak dapat serta-merta menjadi ukuran mutlak untuk menggambarkan tingkat kesejahteraan dan kemakmuran penduduk suatu wilayah. Indikator ini mengabaikan tingkat kemerataan sebaran nilai tambah yang dihasilkan dalam suatu entitas wilayah.</w:t>
      </w:r>
    </w:p>
    <w:p w:rsidR="00373FBC" w:rsidRDefault="00373FBC" w:rsidP="00EF0F6E">
      <w:pPr>
        <w:pStyle w:val="Style1"/>
        <w:spacing w:before="0"/>
        <w:ind w:left="709" w:firstLine="567"/>
        <w:rPr>
          <w:rFonts w:ascii="Cambria" w:hAnsi="Cambria"/>
          <w:b w:val="0"/>
          <w:lang w:val="id-ID"/>
        </w:rPr>
      </w:pPr>
      <w:r w:rsidRPr="009131BA">
        <w:rPr>
          <w:rFonts w:ascii="Cambria" w:hAnsi="Cambria"/>
          <w:b w:val="0"/>
          <w:lang w:val="id-ID"/>
        </w:rPr>
        <w:t>Untuk menunjukkan tingkat perbaikan kemakmuran masyarakat di Kota Bontang secara lebih riil digunakan angka PDRB dan pendapatan per kapita tanpa migas. Dengan mengeluarkan unsur nilai tambah migas, PDRB dan pendapatan per kapita tidak lagi dipengaruhi oleh adanya fluktuasi baik produksi maupun harga migas.</w:t>
      </w:r>
    </w:p>
    <w:p w:rsidR="00E868A8" w:rsidRDefault="00E868A8" w:rsidP="00EF0F6E">
      <w:pPr>
        <w:pStyle w:val="Style1"/>
        <w:spacing w:before="0"/>
        <w:ind w:left="709" w:firstLine="567"/>
        <w:rPr>
          <w:rFonts w:ascii="Cambria" w:hAnsi="Cambria"/>
          <w:b w:val="0"/>
          <w:lang w:val="id-ID"/>
        </w:rPr>
      </w:pPr>
    </w:p>
    <w:p w:rsidR="00E868A8" w:rsidRDefault="00E868A8" w:rsidP="00EF0F6E">
      <w:pPr>
        <w:pStyle w:val="Style1"/>
        <w:spacing w:before="0"/>
        <w:ind w:left="709" w:firstLine="567"/>
        <w:rPr>
          <w:rFonts w:ascii="Cambria" w:hAnsi="Cambria"/>
          <w:b w:val="0"/>
          <w:lang w:val="id-ID"/>
        </w:rPr>
      </w:pPr>
    </w:p>
    <w:p w:rsidR="00E868A8" w:rsidRDefault="00E868A8" w:rsidP="00EF0F6E">
      <w:pPr>
        <w:pStyle w:val="Style1"/>
        <w:spacing w:before="0"/>
        <w:ind w:left="709" w:firstLine="567"/>
        <w:rPr>
          <w:rFonts w:ascii="Cambria" w:hAnsi="Cambria"/>
          <w:b w:val="0"/>
          <w:lang w:val="id-ID"/>
        </w:rPr>
      </w:pPr>
    </w:p>
    <w:p w:rsidR="00E868A8" w:rsidRDefault="00E868A8" w:rsidP="00EF0F6E">
      <w:pPr>
        <w:pStyle w:val="Style1"/>
        <w:spacing w:before="0"/>
        <w:ind w:left="709" w:firstLine="567"/>
        <w:rPr>
          <w:rFonts w:ascii="Cambria" w:hAnsi="Cambria"/>
          <w:b w:val="0"/>
          <w:lang w:val="id-ID"/>
        </w:rPr>
      </w:pPr>
    </w:p>
    <w:p w:rsidR="00E868A8" w:rsidRPr="009131BA" w:rsidRDefault="00E868A8" w:rsidP="00EF0F6E">
      <w:pPr>
        <w:pStyle w:val="Style1"/>
        <w:spacing w:before="0"/>
        <w:ind w:left="709" w:firstLine="567"/>
        <w:rPr>
          <w:rFonts w:ascii="Cambria" w:hAnsi="Cambria"/>
          <w:b w:val="0"/>
          <w:lang w:val="id-ID"/>
        </w:rPr>
      </w:pPr>
    </w:p>
    <w:p w:rsidR="00373FBC" w:rsidRPr="009131BA" w:rsidRDefault="00373FBC" w:rsidP="00373FBC">
      <w:pPr>
        <w:pStyle w:val="Style1"/>
        <w:spacing w:before="0" w:line="240" w:lineRule="auto"/>
        <w:ind w:firstLine="720"/>
        <w:jc w:val="center"/>
        <w:rPr>
          <w:rFonts w:ascii="Cambria" w:hAnsi="Cambria"/>
          <w:b w:val="0"/>
          <w:lang w:val="id-ID"/>
        </w:rPr>
      </w:pPr>
    </w:p>
    <w:p w:rsidR="00373FBC" w:rsidRPr="009131BA" w:rsidRDefault="00373FBC" w:rsidP="00373FBC">
      <w:pPr>
        <w:pStyle w:val="Style1"/>
        <w:spacing w:before="0" w:line="240" w:lineRule="auto"/>
        <w:ind w:firstLine="720"/>
        <w:jc w:val="center"/>
        <w:rPr>
          <w:rFonts w:ascii="Cambria" w:hAnsi="Cambria"/>
          <w:b w:val="0"/>
          <w:lang w:val="id-ID"/>
        </w:rPr>
      </w:pPr>
      <w:r w:rsidRPr="009131BA">
        <w:rPr>
          <w:rFonts w:ascii="Cambria" w:hAnsi="Cambria"/>
          <w:b w:val="0"/>
          <w:lang w:val="id-ID"/>
        </w:rPr>
        <w:lastRenderedPageBreak/>
        <w:t xml:space="preserve">Tabel </w:t>
      </w:r>
      <w:r w:rsidR="002B086A">
        <w:rPr>
          <w:rFonts w:ascii="Cambria" w:hAnsi="Cambria"/>
          <w:b w:val="0"/>
          <w:lang w:val="id-ID"/>
        </w:rPr>
        <w:t>2</w:t>
      </w:r>
      <w:r w:rsidRPr="009131BA">
        <w:rPr>
          <w:rFonts w:ascii="Cambria" w:hAnsi="Cambria"/>
          <w:b w:val="0"/>
          <w:lang w:val="id-ID"/>
        </w:rPr>
        <w:t>.4</w:t>
      </w:r>
    </w:p>
    <w:p w:rsidR="00373FBC" w:rsidRPr="009131BA" w:rsidRDefault="00373FBC" w:rsidP="00373FBC">
      <w:pPr>
        <w:pStyle w:val="Style1"/>
        <w:spacing w:before="0" w:line="240" w:lineRule="auto"/>
        <w:ind w:firstLine="720"/>
        <w:jc w:val="center"/>
        <w:rPr>
          <w:rFonts w:ascii="Cambria" w:hAnsi="Cambria"/>
          <w:b w:val="0"/>
          <w:lang w:val="id-ID"/>
        </w:rPr>
      </w:pPr>
      <w:r w:rsidRPr="009131BA">
        <w:rPr>
          <w:rFonts w:ascii="Cambria" w:hAnsi="Cambria"/>
          <w:b w:val="0"/>
          <w:lang w:val="id-ID"/>
        </w:rPr>
        <w:t>PDRB Per Kapita dan Pendapatan Per Kapita Tanpa Migas</w:t>
      </w:r>
    </w:p>
    <w:p w:rsidR="00373FBC" w:rsidRPr="009131BA" w:rsidRDefault="00373FBC" w:rsidP="00373FBC">
      <w:pPr>
        <w:pStyle w:val="Style1"/>
        <w:spacing w:before="0" w:line="240" w:lineRule="auto"/>
        <w:ind w:firstLine="720"/>
        <w:jc w:val="center"/>
        <w:rPr>
          <w:rFonts w:ascii="Cambria" w:hAnsi="Cambria"/>
          <w:b w:val="0"/>
          <w:lang w:val="id-ID"/>
        </w:rPr>
      </w:pPr>
      <w:r w:rsidRPr="009131BA">
        <w:rPr>
          <w:rFonts w:ascii="Cambria" w:hAnsi="Cambria"/>
          <w:b w:val="0"/>
          <w:lang w:val="id-ID"/>
        </w:rPr>
        <w:t>Atas Dasar Harga Berlaku Tahun 2009 – 2013</w:t>
      </w:r>
    </w:p>
    <w:p w:rsidR="00373FBC" w:rsidRPr="009131BA" w:rsidRDefault="00373FBC" w:rsidP="00373FBC">
      <w:pPr>
        <w:pStyle w:val="Style1"/>
        <w:spacing w:before="0" w:line="240" w:lineRule="auto"/>
        <w:ind w:firstLine="720"/>
        <w:jc w:val="center"/>
        <w:rPr>
          <w:rFonts w:ascii="Cambria" w:hAnsi="Cambria"/>
          <w:b w:val="0"/>
          <w:lang w:val="id-ID"/>
        </w:rPr>
      </w:pPr>
    </w:p>
    <w:tbl>
      <w:tblPr>
        <w:tblStyle w:val="TableGrid"/>
        <w:tblW w:w="8554" w:type="dxa"/>
        <w:tblInd w:w="817" w:type="dxa"/>
        <w:tblLook w:val="04A0"/>
      </w:tblPr>
      <w:tblGrid>
        <w:gridCol w:w="1629"/>
        <w:gridCol w:w="1736"/>
        <w:gridCol w:w="1748"/>
        <w:gridCol w:w="1693"/>
        <w:gridCol w:w="1748"/>
      </w:tblGrid>
      <w:tr w:rsidR="00373FBC" w:rsidRPr="009131BA" w:rsidTr="00EF0F6E">
        <w:trPr>
          <w:tblHeader/>
        </w:trPr>
        <w:tc>
          <w:tcPr>
            <w:tcW w:w="1629" w:type="dxa"/>
            <w:tcBorders>
              <w:bottom w:val="single" w:sz="4" w:space="0" w:color="auto"/>
            </w:tcBorders>
            <w:vAlign w:val="center"/>
          </w:tcPr>
          <w:p w:rsidR="00373FBC" w:rsidRPr="009131BA" w:rsidRDefault="00373FBC" w:rsidP="005C04B9">
            <w:pPr>
              <w:pStyle w:val="Style1"/>
              <w:spacing w:before="0" w:line="240" w:lineRule="auto"/>
              <w:jc w:val="center"/>
              <w:rPr>
                <w:rFonts w:ascii="Cambria" w:hAnsi="Cambria"/>
                <w:lang w:val="id-ID"/>
              </w:rPr>
            </w:pPr>
            <w:r w:rsidRPr="009131BA">
              <w:rPr>
                <w:rFonts w:ascii="Cambria" w:hAnsi="Cambria"/>
                <w:lang w:val="id-ID"/>
              </w:rPr>
              <w:t>Tahun</w:t>
            </w:r>
          </w:p>
        </w:tc>
        <w:tc>
          <w:tcPr>
            <w:tcW w:w="1736" w:type="dxa"/>
            <w:tcBorders>
              <w:bottom w:val="single" w:sz="4" w:space="0" w:color="auto"/>
            </w:tcBorders>
          </w:tcPr>
          <w:p w:rsidR="00373FBC" w:rsidRPr="009131BA" w:rsidRDefault="00373FBC" w:rsidP="005C04B9">
            <w:pPr>
              <w:pStyle w:val="Style1"/>
              <w:spacing w:before="0" w:line="240" w:lineRule="auto"/>
              <w:jc w:val="center"/>
              <w:rPr>
                <w:rFonts w:ascii="Cambria" w:hAnsi="Cambria"/>
                <w:lang w:val="id-ID"/>
              </w:rPr>
            </w:pPr>
            <w:r w:rsidRPr="009131BA">
              <w:rPr>
                <w:rFonts w:ascii="Cambria" w:hAnsi="Cambria"/>
                <w:lang w:val="id-ID"/>
              </w:rPr>
              <w:t>PDRB per Kapita</w:t>
            </w:r>
          </w:p>
        </w:tc>
        <w:tc>
          <w:tcPr>
            <w:tcW w:w="1748" w:type="dxa"/>
            <w:tcBorders>
              <w:bottom w:val="single" w:sz="4" w:space="0" w:color="auto"/>
            </w:tcBorders>
          </w:tcPr>
          <w:p w:rsidR="00373FBC" w:rsidRPr="009131BA" w:rsidRDefault="00373FBC" w:rsidP="005C04B9">
            <w:pPr>
              <w:pStyle w:val="Style1"/>
              <w:spacing w:before="0" w:line="240" w:lineRule="auto"/>
              <w:jc w:val="center"/>
              <w:rPr>
                <w:rFonts w:ascii="Cambria" w:hAnsi="Cambria"/>
                <w:lang w:val="id-ID"/>
              </w:rPr>
            </w:pPr>
            <w:r w:rsidRPr="009131BA">
              <w:rPr>
                <w:rFonts w:ascii="Cambria" w:hAnsi="Cambria"/>
                <w:lang w:val="id-ID"/>
              </w:rPr>
              <w:t>Pertumbuhan (%)</w:t>
            </w:r>
          </w:p>
        </w:tc>
        <w:tc>
          <w:tcPr>
            <w:tcW w:w="1693" w:type="dxa"/>
            <w:tcBorders>
              <w:bottom w:val="single" w:sz="4" w:space="0" w:color="auto"/>
            </w:tcBorders>
          </w:tcPr>
          <w:p w:rsidR="00373FBC" w:rsidRPr="009131BA" w:rsidRDefault="00373FBC" w:rsidP="005C04B9">
            <w:pPr>
              <w:pStyle w:val="Style1"/>
              <w:spacing w:before="0" w:line="240" w:lineRule="auto"/>
              <w:jc w:val="center"/>
              <w:rPr>
                <w:rFonts w:ascii="Cambria" w:hAnsi="Cambria"/>
                <w:lang w:val="id-ID"/>
              </w:rPr>
            </w:pPr>
            <w:r w:rsidRPr="009131BA">
              <w:rPr>
                <w:rFonts w:ascii="Cambria" w:hAnsi="Cambria"/>
                <w:lang w:val="id-ID"/>
              </w:rPr>
              <w:t>Pendapatan per Kapita</w:t>
            </w:r>
          </w:p>
        </w:tc>
        <w:tc>
          <w:tcPr>
            <w:tcW w:w="1748" w:type="dxa"/>
            <w:tcBorders>
              <w:bottom w:val="single" w:sz="4" w:space="0" w:color="auto"/>
            </w:tcBorders>
          </w:tcPr>
          <w:p w:rsidR="00373FBC" w:rsidRPr="009131BA" w:rsidRDefault="00373FBC" w:rsidP="005C04B9">
            <w:pPr>
              <w:pStyle w:val="Style1"/>
              <w:spacing w:before="0" w:line="240" w:lineRule="auto"/>
              <w:jc w:val="center"/>
              <w:rPr>
                <w:rFonts w:ascii="Cambria" w:hAnsi="Cambria"/>
                <w:lang w:val="id-ID"/>
              </w:rPr>
            </w:pPr>
            <w:r w:rsidRPr="009131BA">
              <w:rPr>
                <w:rFonts w:ascii="Cambria" w:hAnsi="Cambria"/>
                <w:lang w:val="id-ID"/>
              </w:rPr>
              <w:t>Pertumbuhan (%)</w:t>
            </w:r>
          </w:p>
        </w:tc>
      </w:tr>
      <w:tr w:rsidR="00373FBC" w:rsidRPr="009131BA" w:rsidTr="00EF0F6E">
        <w:tc>
          <w:tcPr>
            <w:tcW w:w="1629" w:type="dxa"/>
            <w:tcBorders>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2009</w:t>
            </w:r>
          </w:p>
        </w:tc>
        <w:tc>
          <w:tcPr>
            <w:tcW w:w="1736" w:type="dxa"/>
            <w:tcBorders>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51.969.275,00</w:t>
            </w:r>
          </w:p>
        </w:tc>
        <w:tc>
          <w:tcPr>
            <w:tcW w:w="1748" w:type="dxa"/>
            <w:tcBorders>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7,29</w:t>
            </w:r>
          </w:p>
        </w:tc>
        <w:tc>
          <w:tcPr>
            <w:tcW w:w="1693" w:type="dxa"/>
            <w:tcBorders>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44.891.523,00</w:t>
            </w:r>
          </w:p>
        </w:tc>
        <w:tc>
          <w:tcPr>
            <w:tcW w:w="1748" w:type="dxa"/>
            <w:tcBorders>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5,75</w:t>
            </w:r>
          </w:p>
        </w:tc>
      </w:tr>
      <w:tr w:rsidR="00373FBC" w:rsidRPr="009131BA" w:rsidTr="00EF0F6E">
        <w:tc>
          <w:tcPr>
            <w:tcW w:w="1629"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2010</w:t>
            </w:r>
          </w:p>
        </w:tc>
        <w:tc>
          <w:tcPr>
            <w:tcW w:w="1736"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57.481.177,00</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10,61</w:t>
            </w:r>
          </w:p>
        </w:tc>
        <w:tc>
          <w:tcPr>
            <w:tcW w:w="1693"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49.967.608,00</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11,31</w:t>
            </w:r>
          </w:p>
        </w:tc>
      </w:tr>
      <w:tr w:rsidR="00373FBC" w:rsidRPr="009131BA" w:rsidTr="00EF0F6E">
        <w:tc>
          <w:tcPr>
            <w:tcW w:w="1629"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2011</w:t>
            </w:r>
          </w:p>
        </w:tc>
        <w:tc>
          <w:tcPr>
            <w:tcW w:w="1736"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64.270.232,24</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11,81</w:t>
            </w:r>
          </w:p>
        </w:tc>
        <w:tc>
          <w:tcPr>
            <w:tcW w:w="1693"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55.818.238,60</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11,71</w:t>
            </w:r>
          </w:p>
        </w:tc>
      </w:tr>
      <w:tr w:rsidR="00373FBC" w:rsidRPr="009131BA" w:rsidTr="00EF0F6E">
        <w:tc>
          <w:tcPr>
            <w:tcW w:w="1629"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2012</w:t>
            </w:r>
          </w:p>
        </w:tc>
        <w:tc>
          <w:tcPr>
            <w:tcW w:w="1736"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72.009.230,39</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12,04</w:t>
            </w:r>
          </w:p>
        </w:tc>
        <w:tc>
          <w:tcPr>
            <w:tcW w:w="1693"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62.837.979,36</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12,58</w:t>
            </w:r>
          </w:p>
        </w:tc>
      </w:tr>
      <w:tr w:rsidR="00373FBC" w:rsidRPr="009131BA" w:rsidTr="00EF0F6E">
        <w:tc>
          <w:tcPr>
            <w:tcW w:w="1629"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2013</w:t>
            </w:r>
          </w:p>
        </w:tc>
        <w:tc>
          <w:tcPr>
            <w:tcW w:w="1736"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79.768.097,56</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10,77</w:t>
            </w:r>
          </w:p>
        </w:tc>
        <w:tc>
          <w:tcPr>
            <w:tcW w:w="1693"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69.717.485,13</w:t>
            </w:r>
          </w:p>
        </w:tc>
        <w:tc>
          <w:tcPr>
            <w:tcW w:w="1748" w:type="dxa"/>
            <w:tcBorders>
              <w:top w:val="dotted" w:sz="4" w:space="0" w:color="auto"/>
              <w:bottom w:val="dotted" w:sz="4" w:space="0" w:color="auto"/>
            </w:tcBorders>
          </w:tcPr>
          <w:p w:rsidR="00373FBC" w:rsidRPr="009131BA" w:rsidRDefault="00373FBC" w:rsidP="005C04B9">
            <w:pPr>
              <w:pStyle w:val="Style1"/>
              <w:spacing w:before="0" w:line="240" w:lineRule="auto"/>
              <w:jc w:val="center"/>
              <w:rPr>
                <w:rFonts w:ascii="Cambria" w:hAnsi="Cambria"/>
                <w:b w:val="0"/>
                <w:lang w:val="id-ID"/>
              </w:rPr>
            </w:pPr>
            <w:r w:rsidRPr="009131BA">
              <w:rPr>
                <w:rFonts w:ascii="Cambria" w:hAnsi="Cambria"/>
                <w:b w:val="0"/>
                <w:lang w:val="id-ID"/>
              </w:rPr>
              <w:t>10,95</w:t>
            </w:r>
          </w:p>
        </w:tc>
      </w:tr>
    </w:tbl>
    <w:p w:rsidR="00373FBC" w:rsidRPr="009131BA" w:rsidRDefault="00373FBC" w:rsidP="00EF0F6E">
      <w:pPr>
        <w:pStyle w:val="Style1"/>
        <w:spacing w:before="0" w:line="276" w:lineRule="auto"/>
        <w:ind w:firstLine="720"/>
        <w:rPr>
          <w:rFonts w:ascii="Cambria" w:hAnsi="Cambria"/>
          <w:b w:val="0"/>
          <w:i/>
          <w:sz w:val="20"/>
          <w:szCs w:val="20"/>
          <w:lang w:val="id-ID"/>
        </w:rPr>
      </w:pPr>
      <w:r w:rsidRPr="009131BA">
        <w:rPr>
          <w:rFonts w:ascii="Cambria" w:hAnsi="Cambria"/>
          <w:b w:val="0"/>
          <w:i/>
          <w:sz w:val="20"/>
          <w:szCs w:val="20"/>
          <w:lang w:val="id-ID"/>
        </w:rPr>
        <w:t>Sumber:Bontang Dalam Angka 2014</w:t>
      </w:r>
    </w:p>
    <w:p w:rsidR="00373FBC" w:rsidRPr="009131BA" w:rsidRDefault="00373FBC" w:rsidP="00373FBC">
      <w:pPr>
        <w:pStyle w:val="Style1"/>
        <w:spacing w:before="0" w:line="276" w:lineRule="auto"/>
        <w:ind w:firstLine="720"/>
        <w:rPr>
          <w:rFonts w:ascii="Cambria" w:hAnsi="Cambria"/>
          <w:b w:val="0"/>
          <w:lang w:val="id-ID"/>
        </w:rPr>
      </w:pP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 xml:space="preserve">PDRB Per Kapita dan Pendapatan Per Kapita tanpa migas selama tahun 2009-2013 menunjukkan tren peningkatan yang cukup stabil. Hal ini mengindikasikan bahwa terjadi perbaikan sektor-sektor ekonomi masyarakat secara riil selama kurun waktu tersebut. PDRB per kapita Kota Bontang meningkat dari Rp.51,7 juta pada tahun 2009 menjadi Rp.79,77 juta pada tahun 2013.  Sedangkan Pendapatan per kapita mengalami peningkatan dari Rp. 44,89 juta tahun 2009 menjadi Rp. 69,72 juta pada tahun 2013. </w:t>
      </w:r>
    </w:p>
    <w:p w:rsidR="00373FBC" w:rsidRPr="009131BA" w:rsidRDefault="00373FBC" w:rsidP="00EF0F6E">
      <w:pPr>
        <w:pStyle w:val="Style1"/>
        <w:spacing w:before="0"/>
        <w:ind w:left="709" w:firstLine="567"/>
        <w:rPr>
          <w:rFonts w:ascii="Cambria" w:hAnsi="Cambria"/>
          <w:b w:val="0"/>
          <w:lang w:val="id-ID"/>
        </w:rPr>
      </w:pPr>
      <w:r w:rsidRPr="009131BA">
        <w:rPr>
          <w:rFonts w:ascii="Cambria" w:hAnsi="Cambria"/>
          <w:b w:val="0"/>
          <w:lang w:val="id-ID"/>
        </w:rPr>
        <w:t>Dengan memperhatikan tren peningkatan indikator makro ini, dapat diproyeksikan bahwa kapasitas perekonomian Kota Bontang akan cenderung terus mengalami peningkatan di masa yang akan datang.</w:t>
      </w:r>
    </w:p>
    <w:p w:rsidR="00373FBC" w:rsidRPr="009131BA" w:rsidRDefault="00373FBC" w:rsidP="00373FBC">
      <w:pPr>
        <w:pStyle w:val="Style1"/>
        <w:spacing w:before="0" w:line="276" w:lineRule="auto"/>
        <w:ind w:firstLine="720"/>
        <w:rPr>
          <w:rFonts w:ascii="Cambria" w:hAnsi="Cambria"/>
          <w:b w:val="0"/>
          <w:lang w:val="id-ID"/>
        </w:rPr>
      </w:pPr>
    </w:p>
    <w:p w:rsidR="00373FBC" w:rsidRPr="009131BA" w:rsidRDefault="002B086A" w:rsidP="002B086A">
      <w:pPr>
        <w:autoSpaceDE w:val="0"/>
        <w:autoSpaceDN w:val="0"/>
        <w:adjustRightInd w:val="0"/>
        <w:ind w:left="709" w:hanging="709"/>
        <w:jc w:val="both"/>
        <w:rPr>
          <w:rFonts w:ascii="Cambria" w:hAnsi="Cambria" w:cs="Arial"/>
          <w:b/>
          <w:sz w:val="24"/>
          <w:lang w:val="id-ID"/>
        </w:rPr>
      </w:pPr>
      <w:r>
        <w:rPr>
          <w:rFonts w:ascii="Cambria" w:hAnsi="Cambria" w:cs="Arial"/>
          <w:b/>
          <w:sz w:val="24"/>
          <w:lang w:val="id-ID"/>
        </w:rPr>
        <w:t>2</w:t>
      </w:r>
      <w:r w:rsidR="00373FBC" w:rsidRPr="009131BA">
        <w:rPr>
          <w:rFonts w:ascii="Cambria" w:hAnsi="Cambria" w:cs="Arial"/>
          <w:b/>
          <w:sz w:val="24"/>
          <w:lang w:val="id-ID"/>
        </w:rPr>
        <w:t xml:space="preserve">.1.2. </w:t>
      </w:r>
      <w:r w:rsidR="00041291">
        <w:rPr>
          <w:rFonts w:ascii="Cambria" w:hAnsi="Cambria" w:cs="Arial"/>
          <w:b/>
          <w:sz w:val="24"/>
          <w:lang w:val="id-ID"/>
        </w:rPr>
        <w:tab/>
      </w:r>
      <w:r w:rsidR="00373FBC" w:rsidRPr="009131BA">
        <w:rPr>
          <w:rFonts w:ascii="Cambria" w:hAnsi="Cambria" w:cs="Arial"/>
          <w:b/>
          <w:sz w:val="24"/>
          <w:lang w:val="id-ID"/>
        </w:rPr>
        <w:t>Tantangan dan Prospek Perekonomian Daerah Tahun 2015 dan Tahun 2016</w:t>
      </w:r>
    </w:p>
    <w:p w:rsidR="00373FBC" w:rsidRDefault="00373FBC" w:rsidP="00041291">
      <w:pPr>
        <w:pStyle w:val="Style1"/>
        <w:ind w:left="709" w:firstLine="567"/>
        <w:rPr>
          <w:rFonts w:ascii="Cambria" w:hAnsi="Cambria"/>
          <w:b w:val="0"/>
          <w:bCs/>
          <w:iCs/>
          <w:lang w:val="id-ID"/>
        </w:rPr>
      </w:pPr>
      <w:r w:rsidRPr="009131BA">
        <w:rPr>
          <w:rFonts w:ascii="Cambria" w:hAnsi="Cambria"/>
          <w:b w:val="0"/>
          <w:bCs/>
          <w:iCs/>
          <w:lang w:val="id-ID"/>
        </w:rPr>
        <w:t>Tahun 2015 dan 2016 di dalam Rencana Pembangunan Jangka Panjang Daerah (RPJPD) Kota Bontang tercakup dalam tahapan ke-3 (2015-2019) yang merupakan tahap penguatan terhadap capaian pembangunan dua tahapan sebelumnya. Dalam lingkup Rencana Pembangunan Jangka Menengah Daerah (RPJMD), tahun 2016 merupakan tahun transisi dari periode RPJMD 2011-2016 ke periode RPJMD 2016-2020. Dalam kaitan tersebut penyusunan RKPD tahun 2016 harus mempertimbangkan tantangan dan prospek perekonomian Kota Bontang serta memperhatikan sasaran kebijakan pembangunan ekonomi sebagaimana dituangkan dalam dokumen perencanaan pembangunan jangka panjang daerah, kebijakan pembangunan pemerintah provinsi dan nasional.</w:t>
      </w:r>
    </w:p>
    <w:p w:rsidR="00E868A8" w:rsidRPr="009131BA" w:rsidRDefault="00E868A8" w:rsidP="00041291">
      <w:pPr>
        <w:pStyle w:val="Style1"/>
        <w:ind w:left="709" w:firstLine="567"/>
        <w:rPr>
          <w:rFonts w:ascii="Cambria" w:hAnsi="Cambria"/>
          <w:b w:val="0"/>
          <w:bCs/>
          <w:iCs/>
          <w:lang w:val="id-ID"/>
        </w:rPr>
      </w:pPr>
    </w:p>
    <w:p w:rsidR="00373FBC" w:rsidRPr="009131BA" w:rsidRDefault="00373FBC" w:rsidP="00041291">
      <w:pPr>
        <w:pStyle w:val="Style1"/>
        <w:numPr>
          <w:ilvl w:val="7"/>
          <w:numId w:val="12"/>
        </w:numPr>
        <w:ind w:left="709" w:hanging="426"/>
        <w:rPr>
          <w:rFonts w:ascii="Cambria" w:hAnsi="Cambria"/>
          <w:bCs/>
          <w:iCs/>
          <w:lang w:val="id-ID"/>
        </w:rPr>
      </w:pPr>
      <w:r w:rsidRPr="009131BA">
        <w:rPr>
          <w:rFonts w:ascii="Cambria" w:hAnsi="Cambria"/>
          <w:bCs/>
          <w:iCs/>
          <w:lang w:val="id-ID"/>
        </w:rPr>
        <w:lastRenderedPageBreak/>
        <w:t>Tantangan</w:t>
      </w:r>
    </w:p>
    <w:p w:rsidR="00373FBC" w:rsidRPr="009131BA" w:rsidRDefault="00373FBC" w:rsidP="00041291">
      <w:pPr>
        <w:pStyle w:val="Style1"/>
        <w:ind w:left="709" w:firstLine="567"/>
        <w:rPr>
          <w:rFonts w:ascii="Cambria" w:hAnsi="Cambria"/>
          <w:b w:val="0"/>
          <w:bCs/>
          <w:iCs/>
          <w:lang w:val="id-ID"/>
        </w:rPr>
      </w:pPr>
      <w:r w:rsidRPr="009131BA">
        <w:rPr>
          <w:rFonts w:ascii="Cambria" w:hAnsi="Cambria"/>
          <w:b w:val="0"/>
          <w:bCs/>
          <w:iCs/>
          <w:lang w:val="id-ID"/>
        </w:rPr>
        <w:t>Meperhatikan tren pertumbuhan ekonomi Kota Bontang tahun 2009 – 2013 serta dinamika perkembangan ekonomi nasional, dapat dirumuskan tantangan dalam rangka pelaksanaan pembangunan ekonomi Kota Bontang tahun 2015 dan 2016 sebagai berikut:</w:t>
      </w:r>
    </w:p>
    <w:p w:rsidR="00373FBC" w:rsidRPr="009131BA" w:rsidRDefault="00373FBC" w:rsidP="00041291">
      <w:pPr>
        <w:pStyle w:val="Style1"/>
        <w:numPr>
          <w:ilvl w:val="0"/>
          <w:numId w:val="10"/>
        </w:numPr>
        <w:ind w:left="1134" w:hanging="426"/>
        <w:rPr>
          <w:rFonts w:ascii="Cambria" w:hAnsi="Cambria"/>
          <w:b w:val="0"/>
          <w:bCs/>
          <w:iCs/>
          <w:lang w:val="id-ID"/>
        </w:rPr>
      </w:pPr>
      <w:r w:rsidRPr="009131BA">
        <w:rPr>
          <w:rFonts w:ascii="Cambria" w:hAnsi="Cambria"/>
          <w:b w:val="0"/>
          <w:bCs/>
          <w:iCs/>
          <w:lang w:val="id-ID"/>
        </w:rPr>
        <w:t>Tren penurunan sektor industri pengolahan masih akan sangat mempengaruhi tingkat pertumbuhan ekonomi Kota Bontang. Pertumbuhan ekonomi tahun 2015 dan 2016 diproyeksikan masih akan mengalami pertumbuhan negatif meskipun mengalami peningkatan. Hal ini merupakan imbas dari belum adanya indikasi peningkatan produksi yang signifikan dari industri pengolahan gas alam cair oleh PT. Badak. NGL.</w:t>
      </w:r>
    </w:p>
    <w:p w:rsidR="00373FBC" w:rsidRPr="009131BA" w:rsidRDefault="00373FBC" w:rsidP="00041291">
      <w:pPr>
        <w:pStyle w:val="Style1"/>
        <w:numPr>
          <w:ilvl w:val="0"/>
          <w:numId w:val="10"/>
        </w:numPr>
        <w:ind w:left="1134" w:hanging="426"/>
        <w:rPr>
          <w:rFonts w:ascii="Cambria" w:hAnsi="Cambria"/>
          <w:b w:val="0"/>
          <w:bCs/>
          <w:iCs/>
          <w:lang w:val="id-ID"/>
        </w:rPr>
      </w:pPr>
      <w:r w:rsidRPr="009131BA">
        <w:rPr>
          <w:rFonts w:ascii="Cambria" w:hAnsi="Cambria"/>
          <w:b w:val="0"/>
          <w:bCs/>
          <w:iCs/>
          <w:lang w:val="id-ID"/>
        </w:rPr>
        <w:t>Dengan perekonomian yang masih mengalami pertumbuhan negatif, diperkirakan akan berdampak pada masih akan relatif tingginya angka pengangguran. Meskipun pertumbuhan ekonomi tanpa migas relatif tinggi, daya serapnya terhadap tenaga kerja relatif kecil karena skala ekonomi yang relatif kecil dibandingkan kapasitas ekonomi daerah secara aggregat.</w:t>
      </w:r>
    </w:p>
    <w:p w:rsidR="00373FBC" w:rsidRPr="009131BA" w:rsidRDefault="00373FBC" w:rsidP="00041291">
      <w:pPr>
        <w:pStyle w:val="Style1"/>
        <w:numPr>
          <w:ilvl w:val="0"/>
          <w:numId w:val="10"/>
        </w:numPr>
        <w:ind w:left="1134" w:hanging="426"/>
        <w:rPr>
          <w:rFonts w:ascii="Cambria" w:hAnsi="Cambria"/>
          <w:b w:val="0"/>
          <w:bCs/>
          <w:iCs/>
          <w:lang w:val="id-ID"/>
        </w:rPr>
      </w:pPr>
      <w:r w:rsidRPr="009131BA">
        <w:rPr>
          <w:rFonts w:ascii="Cambria" w:hAnsi="Cambria"/>
          <w:b w:val="0"/>
          <w:bCs/>
          <w:iCs/>
          <w:lang w:val="id-ID"/>
        </w:rPr>
        <w:t>Masih dominannya peran sektor industri pengolahan migas dan kimia dalam struktur ekonomi Kota Bontang menyebabkan stimulasi untuk mendorong pertumbuhan ekonomi melalui anggaran pembangunan daerah menjadi sangat lemah. Tantangan utama bagi pemerintah Kota Bontang adalah mendorong tumbuhnya investasi pada sektor-sektor diluar industri basis (industri migas dan kimia).</w:t>
      </w:r>
    </w:p>
    <w:p w:rsidR="00373FBC" w:rsidRPr="009131BA" w:rsidRDefault="00373FBC" w:rsidP="00041291">
      <w:pPr>
        <w:pStyle w:val="Style1"/>
        <w:numPr>
          <w:ilvl w:val="7"/>
          <w:numId w:val="12"/>
        </w:numPr>
        <w:ind w:left="709" w:hanging="426"/>
        <w:rPr>
          <w:rFonts w:ascii="Cambria" w:hAnsi="Cambria"/>
          <w:bCs/>
          <w:iCs/>
          <w:lang w:val="id-ID"/>
        </w:rPr>
      </w:pPr>
      <w:r w:rsidRPr="009131BA">
        <w:rPr>
          <w:rFonts w:ascii="Cambria" w:hAnsi="Cambria"/>
          <w:bCs/>
          <w:iCs/>
          <w:lang w:val="id-ID"/>
        </w:rPr>
        <w:t>Prospek Perekonomian Daerah tahun 2015 dan 2016.</w:t>
      </w:r>
    </w:p>
    <w:p w:rsidR="00373FBC" w:rsidRPr="009131BA" w:rsidRDefault="00373FBC" w:rsidP="00041291">
      <w:pPr>
        <w:pStyle w:val="Style1"/>
        <w:ind w:left="709" w:firstLine="567"/>
        <w:rPr>
          <w:rFonts w:ascii="Cambria" w:hAnsi="Cambria"/>
          <w:b w:val="0"/>
          <w:bCs/>
          <w:iCs/>
          <w:lang w:val="id-ID"/>
        </w:rPr>
      </w:pPr>
      <w:r w:rsidRPr="009131BA">
        <w:rPr>
          <w:rFonts w:ascii="Cambria" w:hAnsi="Cambria"/>
          <w:b w:val="0"/>
          <w:bCs/>
          <w:iCs/>
          <w:lang w:val="id-ID"/>
        </w:rPr>
        <w:t>Meskipun berdasarkan proyeksi pertumbuhan ekonomi Kota Bontang tahun 2015 dan 2016 masih akan mengalami pelambatan, perkembangan ekonomi Kota Bontang masih berpotensi mengalami perbaikan meskipun secara gradual.</w:t>
      </w:r>
    </w:p>
    <w:p w:rsidR="00373FBC" w:rsidRPr="009131BA" w:rsidRDefault="00373FBC" w:rsidP="00041291">
      <w:pPr>
        <w:pStyle w:val="Style1"/>
        <w:numPr>
          <w:ilvl w:val="0"/>
          <w:numId w:val="11"/>
        </w:numPr>
        <w:ind w:left="1276" w:hanging="567"/>
        <w:rPr>
          <w:rFonts w:ascii="Cambria" w:hAnsi="Cambria"/>
          <w:b w:val="0"/>
          <w:bCs/>
          <w:iCs/>
          <w:lang w:val="id-ID"/>
        </w:rPr>
      </w:pPr>
      <w:r w:rsidRPr="009131BA">
        <w:rPr>
          <w:rFonts w:ascii="Cambria" w:hAnsi="Cambria"/>
          <w:b w:val="0"/>
          <w:bCs/>
          <w:iCs/>
          <w:lang w:val="id-ID"/>
        </w:rPr>
        <w:t xml:space="preserve">Tren penurunan kontribusi sektor industri pengolahan migas secara gradual diharapkan dapat disubtitusi oleh berkembangnya peran sektor-sektor ekonomi lainnya yang berbasis pada kapasitas lokal. Hal ini sejalan dengan sasaran kebijakan pembangunan dalam RPJMD Pemerintah </w:t>
      </w:r>
      <w:r w:rsidRPr="009131BA">
        <w:rPr>
          <w:rFonts w:ascii="Cambria" w:hAnsi="Cambria"/>
          <w:b w:val="0"/>
          <w:bCs/>
          <w:iCs/>
          <w:lang w:val="id-ID"/>
        </w:rPr>
        <w:lastRenderedPageBreak/>
        <w:t>Provinsi Kalimantan Timur 2013-2018 untuk melakukan percepatan transformasi ekonomi dari ekonomi berbasis SDA tak terbarukan menjadi ekonomi berbasis SDA terbarukan.</w:t>
      </w:r>
    </w:p>
    <w:p w:rsidR="00373FBC" w:rsidRPr="009131BA" w:rsidRDefault="00373FBC" w:rsidP="00041291">
      <w:pPr>
        <w:pStyle w:val="Style1"/>
        <w:numPr>
          <w:ilvl w:val="0"/>
          <w:numId w:val="11"/>
        </w:numPr>
        <w:ind w:left="1276" w:hanging="567"/>
        <w:rPr>
          <w:rFonts w:ascii="Cambria" w:hAnsi="Cambria"/>
          <w:b w:val="0"/>
          <w:bCs/>
          <w:iCs/>
          <w:lang w:val="id-ID"/>
        </w:rPr>
      </w:pPr>
      <w:r w:rsidRPr="009131BA">
        <w:rPr>
          <w:rFonts w:ascii="Cambria" w:hAnsi="Cambria"/>
          <w:b w:val="0"/>
          <w:bCs/>
          <w:iCs/>
          <w:lang w:val="id-ID"/>
        </w:rPr>
        <w:t>Ditetapkannya Kota Bontang sebagai daerah cluster industri berbasis migas dan kondensat diharapkan dapat menjadi stimulus untuk peningkatan investasi dan penyerapan tenaga kerja.</w:t>
      </w:r>
    </w:p>
    <w:p w:rsidR="00373FBC" w:rsidRPr="009131BA" w:rsidRDefault="00373FBC" w:rsidP="00041291">
      <w:pPr>
        <w:pStyle w:val="Style1"/>
        <w:numPr>
          <w:ilvl w:val="0"/>
          <w:numId w:val="11"/>
        </w:numPr>
        <w:ind w:left="1276" w:hanging="567"/>
        <w:rPr>
          <w:rFonts w:ascii="Cambria" w:hAnsi="Cambria"/>
          <w:b w:val="0"/>
          <w:bCs/>
          <w:iCs/>
          <w:lang w:val="id-ID"/>
        </w:rPr>
      </w:pPr>
      <w:r w:rsidRPr="009131BA">
        <w:rPr>
          <w:rFonts w:ascii="Cambria" w:hAnsi="Cambria"/>
          <w:b w:val="0"/>
          <w:bCs/>
          <w:iCs/>
          <w:lang w:val="id-ID"/>
        </w:rPr>
        <w:t>Telah terbukanya jalur pelayaran Bontang – Pare-Pare merupakan salah satu potensi bagi perkembangan sektor ekonomi tersier seperti perdagangan dan jasa-jasa.</w:t>
      </w:r>
    </w:p>
    <w:p w:rsidR="00373FBC" w:rsidRPr="009131BA" w:rsidRDefault="00373FBC" w:rsidP="00041291">
      <w:pPr>
        <w:pStyle w:val="Style1"/>
        <w:numPr>
          <w:ilvl w:val="0"/>
          <w:numId w:val="11"/>
        </w:numPr>
        <w:ind w:left="1276" w:hanging="567"/>
        <w:rPr>
          <w:rFonts w:ascii="Cambria" w:hAnsi="Cambria"/>
          <w:b w:val="0"/>
          <w:bCs/>
          <w:iCs/>
          <w:lang w:val="id-ID"/>
        </w:rPr>
      </w:pPr>
      <w:r w:rsidRPr="009131BA">
        <w:rPr>
          <w:rFonts w:ascii="Cambria" w:hAnsi="Cambria"/>
          <w:b w:val="0"/>
          <w:bCs/>
          <w:iCs/>
          <w:lang w:val="id-ID"/>
        </w:rPr>
        <w:t>Stimulus dari rencana kebijakan Pemerintahan Baru untuk memperkuat sektor maritim memberikan harapan bagi inisiasi perkembangan sektor ekonomi maritim Kota Bontang sebagaimana arah kebijakan pembangunan ekonomi dalam RPJPD Kota Bontang tahap ke-3 (2015-2018) yaitu membangun struktur ekonomi maritim dengan tetap menjaga keseimbangan industri migas dan non-migas yang kuat.</w:t>
      </w:r>
    </w:p>
    <w:p w:rsidR="000C2555" w:rsidRPr="009131BA" w:rsidRDefault="00F20DF8" w:rsidP="00EA3B03">
      <w:pPr>
        <w:pStyle w:val="ListParagraph"/>
        <w:widowControl w:val="0"/>
        <w:autoSpaceDE w:val="0"/>
        <w:autoSpaceDN w:val="0"/>
        <w:adjustRightInd w:val="0"/>
        <w:spacing w:before="120" w:after="0" w:line="360" w:lineRule="auto"/>
        <w:ind w:left="540"/>
        <w:contextualSpacing w:val="0"/>
        <w:jc w:val="both"/>
        <w:rPr>
          <w:rFonts w:ascii="Cambria" w:hAnsi="Cambria"/>
          <w:sz w:val="24"/>
          <w:szCs w:val="24"/>
        </w:rPr>
      </w:pPr>
      <w:r w:rsidRPr="009131BA">
        <w:rPr>
          <w:rFonts w:ascii="Cambria" w:hAnsi="Cambria" w:cs="Cambria"/>
          <w:sz w:val="24"/>
          <w:szCs w:val="24"/>
        </w:rPr>
        <w:t xml:space="preserve"> </w:t>
      </w:r>
    </w:p>
    <w:sectPr w:rsidR="000C2555" w:rsidRPr="009131BA" w:rsidSect="00597427">
      <w:footerReference w:type="default" r:id="rId9"/>
      <w:pgSz w:w="11907" w:h="16839" w:code="9"/>
      <w:pgMar w:top="1440" w:right="1440" w:bottom="144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040" w:rsidRDefault="00F03040" w:rsidP="00D9537A">
      <w:pPr>
        <w:spacing w:after="0" w:line="240" w:lineRule="auto"/>
      </w:pPr>
      <w:r>
        <w:separator/>
      </w:r>
    </w:p>
  </w:endnote>
  <w:endnote w:type="continuationSeparator" w:id="0">
    <w:p w:rsidR="00F03040" w:rsidRDefault="00F03040" w:rsidP="00D953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mbria" w:hAnsi="Cambria" w:cs="Tahoma"/>
        <w:i/>
        <w:sz w:val="24"/>
        <w:szCs w:val="24"/>
      </w:rPr>
      <w:id w:val="1115404153"/>
      <w:docPartObj>
        <w:docPartGallery w:val="Page Numbers (Bottom of Page)"/>
        <w:docPartUnique/>
      </w:docPartObj>
    </w:sdtPr>
    <w:sdtEndPr>
      <w:rPr>
        <w:noProof/>
      </w:rPr>
    </w:sdtEndPr>
    <w:sdtContent>
      <w:p w:rsidR="00583A32" w:rsidRPr="00DA7915" w:rsidRDefault="00E33C5C" w:rsidP="00DA7915">
        <w:pPr>
          <w:pStyle w:val="Footer"/>
          <w:tabs>
            <w:tab w:val="clear" w:pos="4680"/>
            <w:tab w:val="clear" w:pos="9360"/>
          </w:tabs>
          <w:jc w:val="right"/>
          <w:rPr>
            <w:rFonts w:ascii="Cambria" w:hAnsi="Cambria" w:cs="Tahoma"/>
            <w:i/>
            <w:sz w:val="24"/>
            <w:szCs w:val="24"/>
          </w:rPr>
        </w:pPr>
        <w:r>
          <w:rPr>
            <w:rFonts w:ascii="Cambria" w:hAnsi="Cambria" w:cs="Tahoma"/>
            <w:i/>
            <w:sz w:val="24"/>
            <w:szCs w:val="24"/>
            <w:lang w:val="id-ID"/>
          </w:rPr>
          <w:t xml:space="preserve">Nota Kesepakatan </w:t>
        </w:r>
        <w:r w:rsidR="0031156F">
          <w:rPr>
            <w:rFonts w:ascii="Cambria" w:hAnsi="Cambria" w:cs="Tahoma"/>
            <w:i/>
            <w:sz w:val="24"/>
            <w:szCs w:val="24"/>
          </w:rPr>
          <w:t xml:space="preserve"> KUA Kota Bontang Tahun 201</w:t>
        </w:r>
        <w:r w:rsidR="0031156F">
          <w:rPr>
            <w:rFonts w:ascii="Cambria" w:hAnsi="Cambria" w:cs="Tahoma"/>
            <w:i/>
            <w:sz w:val="24"/>
            <w:szCs w:val="24"/>
            <w:lang w:val="id-ID"/>
          </w:rPr>
          <w:t>6</w:t>
        </w:r>
        <w:r w:rsidR="00A16E6B" w:rsidRPr="00DA7915">
          <w:rPr>
            <w:rFonts w:ascii="Cambria" w:hAnsi="Cambria" w:cs="Tahoma"/>
            <w:i/>
            <w:sz w:val="24"/>
            <w:szCs w:val="24"/>
          </w:rPr>
          <w:t xml:space="preserve">  -----   </w:t>
        </w:r>
        <w:r w:rsidR="00DA7915" w:rsidRPr="00DA7915">
          <w:rPr>
            <w:rFonts w:ascii="Cambria" w:hAnsi="Cambria" w:cs="Tahoma"/>
            <w:i/>
            <w:sz w:val="24"/>
            <w:szCs w:val="24"/>
          </w:rPr>
          <w:t>I</w:t>
        </w:r>
        <w:r w:rsidR="00A16E6B" w:rsidRPr="00DA7915">
          <w:rPr>
            <w:rFonts w:ascii="Cambria" w:hAnsi="Cambria" w:cs="Tahoma"/>
            <w:i/>
            <w:sz w:val="24"/>
            <w:szCs w:val="24"/>
          </w:rPr>
          <w:t>I.</w:t>
        </w:r>
        <w:r w:rsidR="00C42551" w:rsidRPr="00DA7915">
          <w:rPr>
            <w:rFonts w:ascii="Cambria" w:hAnsi="Cambria" w:cs="Tahoma"/>
            <w:i/>
            <w:sz w:val="24"/>
            <w:szCs w:val="24"/>
          </w:rPr>
          <w:fldChar w:fldCharType="begin"/>
        </w:r>
        <w:r w:rsidR="00A16E6B" w:rsidRPr="00DA7915">
          <w:rPr>
            <w:rFonts w:ascii="Cambria" w:hAnsi="Cambria" w:cs="Tahoma"/>
            <w:i/>
            <w:sz w:val="24"/>
            <w:szCs w:val="24"/>
          </w:rPr>
          <w:instrText xml:space="preserve"> PAGE   \* MERGEFORMAT </w:instrText>
        </w:r>
        <w:r w:rsidR="00C42551" w:rsidRPr="00DA7915">
          <w:rPr>
            <w:rFonts w:ascii="Cambria" w:hAnsi="Cambria" w:cs="Tahoma"/>
            <w:i/>
            <w:sz w:val="24"/>
            <w:szCs w:val="24"/>
          </w:rPr>
          <w:fldChar w:fldCharType="separate"/>
        </w:r>
        <w:r>
          <w:rPr>
            <w:rFonts w:ascii="Cambria" w:hAnsi="Cambria" w:cs="Tahoma"/>
            <w:i/>
            <w:noProof/>
            <w:sz w:val="24"/>
            <w:szCs w:val="24"/>
          </w:rPr>
          <w:t>9</w:t>
        </w:r>
        <w:r w:rsidR="00C42551" w:rsidRPr="00DA7915">
          <w:rPr>
            <w:rFonts w:ascii="Cambria" w:hAnsi="Cambria" w:cs="Tahoma"/>
            <w:i/>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040" w:rsidRDefault="00F03040" w:rsidP="00D9537A">
      <w:pPr>
        <w:spacing w:after="0" w:line="240" w:lineRule="auto"/>
      </w:pPr>
      <w:r>
        <w:separator/>
      </w:r>
    </w:p>
  </w:footnote>
  <w:footnote w:type="continuationSeparator" w:id="0">
    <w:p w:rsidR="00F03040" w:rsidRDefault="00F03040" w:rsidP="00D953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72B2A"/>
    <w:multiLevelType w:val="hybridMultilevel"/>
    <w:tmpl w:val="35A0C1A6"/>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23C9"/>
    <w:multiLevelType w:val="multilevel"/>
    <w:tmpl w:val="3286A21C"/>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C636635"/>
    <w:multiLevelType w:val="hybridMultilevel"/>
    <w:tmpl w:val="F092C8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7C1360"/>
    <w:multiLevelType w:val="hybridMultilevel"/>
    <w:tmpl w:val="0A445514"/>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061AC8"/>
    <w:multiLevelType w:val="hybridMultilevel"/>
    <w:tmpl w:val="1C0E9AB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nsid w:val="1C232261"/>
    <w:multiLevelType w:val="hybridMultilevel"/>
    <w:tmpl w:val="2D1AC95A"/>
    <w:lvl w:ilvl="0" w:tplc="350A149E">
      <w:start w:val="1"/>
      <w:numFmt w:val="decimal"/>
      <w:lvlText w:val="%1."/>
      <w:lvlJc w:val="left"/>
      <w:pPr>
        <w:ind w:left="1260" w:hanging="360"/>
      </w:pPr>
      <w:rPr>
        <w:rFonts w:ascii="Cambria" w:hAnsi="Cambria" w:hint="default"/>
        <w:b w:val="0"/>
        <w:i w:val="0"/>
        <w:sz w:val="22"/>
        <w:szCs w:val="3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619444B"/>
    <w:multiLevelType w:val="hybridMultilevel"/>
    <w:tmpl w:val="867011CA"/>
    <w:lvl w:ilvl="0" w:tplc="AF608CF2">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DB2484"/>
    <w:multiLevelType w:val="hybridMultilevel"/>
    <w:tmpl w:val="941A4BE4"/>
    <w:lvl w:ilvl="0" w:tplc="91562A4A">
      <w:start w:val="1"/>
      <w:numFmt w:val="lowerLetter"/>
      <w:lvlText w:val="%1)"/>
      <w:lvlJc w:val="left"/>
      <w:pPr>
        <w:ind w:left="360" w:hanging="360"/>
      </w:pPr>
    </w:lvl>
    <w:lvl w:ilvl="1" w:tplc="04210019">
      <w:start w:val="1"/>
      <w:numFmt w:val="decimal"/>
      <w:lvlText w:val="%2"/>
      <w:lvlJc w:val="left"/>
      <w:pPr>
        <w:ind w:left="1080" w:hanging="360"/>
      </w:pPr>
      <w:rPr>
        <w:rFonts w:ascii="Cambria" w:hAnsi="Cambria" w:hint="default"/>
        <w:b w:val="0"/>
        <w:i w:val="0"/>
        <w:sz w:val="24"/>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477A4DEF"/>
    <w:multiLevelType w:val="hybridMultilevel"/>
    <w:tmpl w:val="1916A370"/>
    <w:lvl w:ilvl="0" w:tplc="04090017">
      <w:start w:val="1"/>
      <w:numFmt w:val="decimal"/>
      <w:lvlText w:val="%1."/>
      <w:lvlJc w:val="left"/>
      <w:pPr>
        <w:ind w:left="720" w:hanging="360"/>
      </w:pPr>
      <w:rPr>
        <w:rFonts w:ascii="Cambria" w:hAnsi="Cambria" w:hint="default"/>
        <w:b w:val="0"/>
        <w:i w:val="0"/>
        <w:sz w:val="22"/>
        <w:szCs w:val="36"/>
      </w:rPr>
    </w:lvl>
    <w:lvl w:ilvl="1" w:tplc="AF608CF2">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746BFB"/>
    <w:multiLevelType w:val="hybridMultilevel"/>
    <w:tmpl w:val="EF0AE094"/>
    <w:lvl w:ilvl="0" w:tplc="350A149E">
      <w:start w:val="1"/>
      <w:numFmt w:val="decimal"/>
      <w:lvlText w:val="2.%1."/>
      <w:lvlJc w:val="left"/>
      <w:pPr>
        <w:ind w:left="1267" w:hanging="360"/>
      </w:pPr>
      <w:rPr>
        <w:rFonts w:ascii="Cambria" w:hAnsi="Cambria" w:hint="default"/>
        <w:b/>
        <w:i w:val="0"/>
        <w:sz w:val="2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nsid w:val="65302381"/>
    <w:multiLevelType w:val="hybridMultilevel"/>
    <w:tmpl w:val="78389416"/>
    <w:lvl w:ilvl="0" w:tplc="BCC8D2D6">
      <w:start w:val="1"/>
      <w:numFmt w:val="decimal"/>
      <w:lvlText w:val="%1"/>
      <w:lvlJc w:val="left"/>
      <w:pPr>
        <w:ind w:left="720" w:hanging="360"/>
      </w:pPr>
      <w:rPr>
        <w:rFonts w:ascii="Cambria" w:hAnsi="Cambria"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0C64AA"/>
    <w:multiLevelType w:val="multilevel"/>
    <w:tmpl w:val="683059A0"/>
    <w:lvl w:ilvl="0">
      <w:start w:val="1"/>
      <w:numFmt w:val="decimal"/>
      <w:lvlText w:val="3.%1."/>
      <w:lvlJc w:val="left"/>
      <w:pPr>
        <w:ind w:left="1800" w:hanging="360"/>
      </w:pPr>
      <w:rPr>
        <w:rFonts w:hint="default"/>
      </w:rPr>
    </w:lvl>
    <w:lvl w:ilvl="1">
      <w:start w:val="1"/>
      <w:numFmt w:val="decimal"/>
      <w:lvlText w:val="3.%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i w:val="0"/>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2">
    <w:nsid w:val="752D04E0"/>
    <w:multiLevelType w:val="hybridMultilevel"/>
    <w:tmpl w:val="13841FE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start w:val="1"/>
      <w:numFmt w:val="lowerLetter"/>
      <w:lvlText w:val="%8."/>
      <w:lvlJc w:val="left"/>
      <w:pPr>
        <w:ind w:left="5760" w:hanging="360"/>
      </w:pPr>
      <w:rPr>
        <w:rFonts w:hint="default"/>
      </w:rPr>
    </w:lvl>
    <w:lvl w:ilvl="8" w:tplc="0421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3"/>
  </w:num>
  <w:num w:numId="5">
    <w:abstractNumId w:val="6"/>
  </w:num>
  <w:num w:numId="6">
    <w:abstractNumId w:val="10"/>
  </w:num>
  <w:num w:numId="7">
    <w:abstractNumId w:val="8"/>
  </w:num>
  <w:num w:numId="8">
    <w:abstractNumId w:val="5"/>
  </w:num>
  <w:num w:numId="9">
    <w:abstractNumId w:val="11"/>
  </w:num>
  <w:num w:numId="10">
    <w:abstractNumId w:val="2"/>
  </w:num>
  <w:num w:numId="11">
    <w:abstractNumId w:val="4"/>
  </w:num>
  <w:num w:numId="12">
    <w:abstractNumId w:val="12"/>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05"/>
  <w:displayHorizontalDrawingGridEvery w:val="2"/>
  <w:characterSpacingControl w:val="doNotCompress"/>
  <w:hdrShapeDefaults>
    <o:shapedefaults v:ext="edit" spidmax="26626"/>
  </w:hdrShapeDefaults>
  <w:footnotePr>
    <w:footnote w:id="-1"/>
    <w:footnote w:id="0"/>
  </w:footnotePr>
  <w:endnotePr>
    <w:endnote w:id="-1"/>
    <w:endnote w:id="0"/>
  </w:endnotePr>
  <w:compat>
    <w:useFELayout/>
  </w:compat>
  <w:rsids>
    <w:rsidRoot w:val="00F20DF8"/>
    <w:rsid w:val="00000721"/>
    <w:rsid w:val="00041291"/>
    <w:rsid w:val="00070890"/>
    <w:rsid w:val="000A2B20"/>
    <w:rsid w:val="000B31C9"/>
    <w:rsid w:val="000C2555"/>
    <w:rsid w:val="000C7E8C"/>
    <w:rsid w:val="001003E8"/>
    <w:rsid w:val="001354C5"/>
    <w:rsid w:val="0013666D"/>
    <w:rsid w:val="00136D0F"/>
    <w:rsid w:val="00146A52"/>
    <w:rsid w:val="001D20B5"/>
    <w:rsid w:val="001E6183"/>
    <w:rsid w:val="0025541F"/>
    <w:rsid w:val="002B086A"/>
    <w:rsid w:val="002B1392"/>
    <w:rsid w:val="002C0038"/>
    <w:rsid w:val="002C7951"/>
    <w:rsid w:val="0031156F"/>
    <w:rsid w:val="00355E93"/>
    <w:rsid w:val="00365B41"/>
    <w:rsid w:val="00373FBC"/>
    <w:rsid w:val="003810AE"/>
    <w:rsid w:val="003A1791"/>
    <w:rsid w:val="003D0702"/>
    <w:rsid w:val="003F263F"/>
    <w:rsid w:val="00431D09"/>
    <w:rsid w:val="00436F94"/>
    <w:rsid w:val="00454324"/>
    <w:rsid w:val="00455AA6"/>
    <w:rsid w:val="00462EFF"/>
    <w:rsid w:val="004B0A9C"/>
    <w:rsid w:val="004E7FF1"/>
    <w:rsid w:val="00540592"/>
    <w:rsid w:val="005603CD"/>
    <w:rsid w:val="005715A4"/>
    <w:rsid w:val="005758EA"/>
    <w:rsid w:val="00582473"/>
    <w:rsid w:val="00583A32"/>
    <w:rsid w:val="005859BC"/>
    <w:rsid w:val="00587E62"/>
    <w:rsid w:val="00597427"/>
    <w:rsid w:val="005A0090"/>
    <w:rsid w:val="005A368A"/>
    <w:rsid w:val="005C1A36"/>
    <w:rsid w:val="005D3822"/>
    <w:rsid w:val="005E0E14"/>
    <w:rsid w:val="005F020B"/>
    <w:rsid w:val="00616F08"/>
    <w:rsid w:val="00625452"/>
    <w:rsid w:val="00645F09"/>
    <w:rsid w:val="0065168D"/>
    <w:rsid w:val="006C0160"/>
    <w:rsid w:val="006C1796"/>
    <w:rsid w:val="006E0CCD"/>
    <w:rsid w:val="00705CC3"/>
    <w:rsid w:val="007251F1"/>
    <w:rsid w:val="00770505"/>
    <w:rsid w:val="007A06EC"/>
    <w:rsid w:val="007B65C9"/>
    <w:rsid w:val="007C10E8"/>
    <w:rsid w:val="007E1A4A"/>
    <w:rsid w:val="007E4206"/>
    <w:rsid w:val="008068B1"/>
    <w:rsid w:val="008172C0"/>
    <w:rsid w:val="00845E3D"/>
    <w:rsid w:val="00874001"/>
    <w:rsid w:val="0087426D"/>
    <w:rsid w:val="008760B3"/>
    <w:rsid w:val="008B4849"/>
    <w:rsid w:val="00902489"/>
    <w:rsid w:val="009131BA"/>
    <w:rsid w:val="00915CCA"/>
    <w:rsid w:val="00946BDD"/>
    <w:rsid w:val="009908EE"/>
    <w:rsid w:val="009E4904"/>
    <w:rsid w:val="009E6FFA"/>
    <w:rsid w:val="00A0470A"/>
    <w:rsid w:val="00A11BC3"/>
    <w:rsid w:val="00A16E6B"/>
    <w:rsid w:val="00A81D67"/>
    <w:rsid w:val="00A925ED"/>
    <w:rsid w:val="00AA605A"/>
    <w:rsid w:val="00AC1389"/>
    <w:rsid w:val="00AD7C11"/>
    <w:rsid w:val="00AD7C86"/>
    <w:rsid w:val="00AF3AE2"/>
    <w:rsid w:val="00AF612A"/>
    <w:rsid w:val="00B00C91"/>
    <w:rsid w:val="00BE3575"/>
    <w:rsid w:val="00C05A61"/>
    <w:rsid w:val="00C40855"/>
    <w:rsid w:val="00C42551"/>
    <w:rsid w:val="00C665D0"/>
    <w:rsid w:val="00C8113C"/>
    <w:rsid w:val="00CA0701"/>
    <w:rsid w:val="00CE4744"/>
    <w:rsid w:val="00CF51C6"/>
    <w:rsid w:val="00D540D1"/>
    <w:rsid w:val="00D9537A"/>
    <w:rsid w:val="00DA7915"/>
    <w:rsid w:val="00DA7DD3"/>
    <w:rsid w:val="00DC0235"/>
    <w:rsid w:val="00DD1A8E"/>
    <w:rsid w:val="00E33C5C"/>
    <w:rsid w:val="00E376BF"/>
    <w:rsid w:val="00E868A8"/>
    <w:rsid w:val="00EA3B03"/>
    <w:rsid w:val="00EB763F"/>
    <w:rsid w:val="00ED7E56"/>
    <w:rsid w:val="00EF0F6E"/>
    <w:rsid w:val="00F03040"/>
    <w:rsid w:val="00F0731C"/>
    <w:rsid w:val="00F108EC"/>
    <w:rsid w:val="00F20DF8"/>
    <w:rsid w:val="00F2136C"/>
    <w:rsid w:val="00F240C4"/>
    <w:rsid w:val="00F44AB1"/>
    <w:rsid w:val="00F52647"/>
    <w:rsid w:val="00F85598"/>
    <w:rsid w:val="00FB75E0"/>
    <w:rsid w:val="00FD03C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89"/>
  </w:style>
  <w:style w:type="paragraph" w:styleId="Heading1">
    <w:name w:val="heading 1"/>
    <w:basedOn w:val="Normal"/>
    <w:next w:val="Normal"/>
    <w:link w:val="Heading1Char"/>
    <w:uiPriority w:val="9"/>
    <w:qFormat/>
    <w:rsid w:val="00902489"/>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902489"/>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90248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902489"/>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902489"/>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902489"/>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902489"/>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902489"/>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902489"/>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0DF8"/>
    <w:pPr>
      <w:tabs>
        <w:tab w:val="center" w:pos="4680"/>
        <w:tab w:val="right" w:pos="9360"/>
      </w:tabs>
    </w:pPr>
  </w:style>
  <w:style w:type="character" w:customStyle="1" w:styleId="HeaderChar">
    <w:name w:val="Header Char"/>
    <w:basedOn w:val="DefaultParagraphFont"/>
    <w:link w:val="Header"/>
    <w:uiPriority w:val="99"/>
    <w:rsid w:val="00F20DF8"/>
    <w:rPr>
      <w:rFonts w:ascii="Calibri" w:eastAsia="Times New Roman" w:hAnsi="Calibri" w:cs="Times New Roman"/>
    </w:rPr>
  </w:style>
  <w:style w:type="paragraph" w:styleId="Footer">
    <w:name w:val="footer"/>
    <w:basedOn w:val="Normal"/>
    <w:link w:val="FooterChar"/>
    <w:uiPriority w:val="99"/>
    <w:unhideWhenUsed/>
    <w:rsid w:val="00F20DF8"/>
    <w:pPr>
      <w:tabs>
        <w:tab w:val="center" w:pos="4680"/>
        <w:tab w:val="right" w:pos="9360"/>
      </w:tabs>
    </w:pPr>
  </w:style>
  <w:style w:type="character" w:customStyle="1" w:styleId="FooterChar">
    <w:name w:val="Footer Char"/>
    <w:basedOn w:val="DefaultParagraphFont"/>
    <w:link w:val="Footer"/>
    <w:uiPriority w:val="99"/>
    <w:rsid w:val="00F20DF8"/>
    <w:rPr>
      <w:rFonts w:ascii="Calibri" w:eastAsia="Times New Roman" w:hAnsi="Calibri" w:cs="Times New Roman"/>
    </w:rPr>
  </w:style>
  <w:style w:type="paragraph" w:customStyle="1" w:styleId="Style1">
    <w:name w:val="Style1"/>
    <w:basedOn w:val="Normal"/>
    <w:link w:val="Style1CharChar"/>
    <w:rsid w:val="00436F94"/>
    <w:pPr>
      <w:spacing w:before="120" w:after="0" w:line="360" w:lineRule="auto"/>
      <w:jc w:val="both"/>
    </w:pPr>
    <w:rPr>
      <w:rFonts w:ascii="Maiandra GD" w:hAnsi="Maiandra GD"/>
      <w:b/>
      <w:sz w:val="24"/>
      <w:szCs w:val="24"/>
      <w:lang w:val="sv-SE"/>
    </w:rPr>
  </w:style>
  <w:style w:type="character" w:customStyle="1" w:styleId="Style1CharChar">
    <w:name w:val="Style1 Char Char"/>
    <w:basedOn w:val="DefaultParagraphFont"/>
    <w:link w:val="Style1"/>
    <w:rsid w:val="00436F94"/>
    <w:rPr>
      <w:rFonts w:ascii="Maiandra GD" w:eastAsia="Times New Roman" w:hAnsi="Maiandra GD" w:cs="Times New Roman"/>
      <w:b/>
      <w:sz w:val="24"/>
      <w:szCs w:val="24"/>
      <w:lang w:val="sv-SE"/>
    </w:rPr>
  </w:style>
  <w:style w:type="character" w:customStyle="1" w:styleId="Heading1Char">
    <w:name w:val="Heading 1 Char"/>
    <w:basedOn w:val="DefaultParagraphFont"/>
    <w:link w:val="Heading1"/>
    <w:uiPriority w:val="9"/>
    <w:rsid w:val="00902489"/>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902489"/>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902489"/>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902489"/>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902489"/>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902489"/>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902489"/>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902489"/>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902489"/>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902489"/>
    <w:pPr>
      <w:spacing w:line="240" w:lineRule="auto"/>
    </w:pPr>
    <w:rPr>
      <w:b/>
      <w:bCs/>
      <w:smallCaps/>
      <w:color w:val="595959" w:themeColor="text1" w:themeTint="A6"/>
    </w:rPr>
  </w:style>
  <w:style w:type="paragraph" w:styleId="Title">
    <w:name w:val="Title"/>
    <w:basedOn w:val="Normal"/>
    <w:next w:val="Normal"/>
    <w:link w:val="TitleChar"/>
    <w:uiPriority w:val="10"/>
    <w:qFormat/>
    <w:rsid w:val="0090248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902489"/>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902489"/>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902489"/>
    <w:rPr>
      <w:rFonts w:asciiTheme="majorHAnsi" w:eastAsiaTheme="majorEastAsia" w:hAnsiTheme="majorHAnsi" w:cstheme="majorBidi"/>
      <w:sz w:val="30"/>
      <w:szCs w:val="30"/>
    </w:rPr>
  </w:style>
  <w:style w:type="character" w:styleId="Strong">
    <w:name w:val="Strong"/>
    <w:basedOn w:val="DefaultParagraphFont"/>
    <w:uiPriority w:val="22"/>
    <w:qFormat/>
    <w:rsid w:val="00902489"/>
    <w:rPr>
      <w:b/>
      <w:bCs/>
    </w:rPr>
  </w:style>
  <w:style w:type="character" w:styleId="Emphasis">
    <w:name w:val="Emphasis"/>
    <w:basedOn w:val="DefaultParagraphFont"/>
    <w:uiPriority w:val="20"/>
    <w:qFormat/>
    <w:rsid w:val="00902489"/>
    <w:rPr>
      <w:i/>
      <w:iCs/>
      <w:color w:val="70AD47" w:themeColor="accent6"/>
    </w:rPr>
  </w:style>
  <w:style w:type="paragraph" w:styleId="NoSpacing">
    <w:name w:val="No Spacing"/>
    <w:uiPriority w:val="1"/>
    <w:qFormat/>
    <w:rsid w:val="00902489"/>
    <w:pPr>
      <w:spacing w:after="0" w:line="240" w:lineRule="auto"/>
    </w:pPr>
  </w:style>
  <w:style w:type="paragraph" w:styleId="Quote">
    <w:name w:val="Quote"/>
    <w:basedOn w:val="Normal"/>
    <w:next w:val="Normal"/>
    <w:link w:val="QuoteChar"/>
    <w:uiPriority w:val="29"/>
    <w:qFormat/>
    <w:rsid w:val="00902489"/>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902489"/>
    <w:rPr>
      <w:i/>
      <w:iCs/>
      <w:color w:val="262626" w:themeColor="text1" w:themeTint="D9"/>
    </w:rPr>
  </w:style>
  <w:style w:type="paragraph" w:styleId="IntenseQuote">
    <w:name w:val="Intense Quote"/>
    <w:basedOn w:val="Normal"/>
    <w:next w:val="Normal"/>
    <w:link w:val="IntenseQuoteChar"/>
    <w:uiPriority w:val="30"/>
    <w:qFormat/>
    <w:rsid w:val="00902489"/>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902489"/>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902489"/>
    <w:rPr>
      <w:i/>
      <w:iCs/>
    </w:rPr>
  </w:style>
  <w:style w:type="character" w:styleId="IntenseEmphasis">
    <w:name w:val="Intense Emphasis"/>
    <w:basedOn w:val="DefaultParagraphFont"/>
    <w:uiPriority w:val="21"/>
    <w:qFormat/>
    <w:rsid w:val="00902489"/>
    <w:rPr>
      <w:b/>
      <w:bCs/>
      <w:i/>
      <w:iCs/>
    </w:rPr>
  </w:style>
  <w:style w:type="character" w:styleId="SubtleReference">
    <w:name w:val="Subtle Reference"/>
    <w:basedOn w:val="DefaultParagraphFont"/>
    <w:uiPriority w:val="31"/>
    <w:qFormat/>
    <w:rsid w:val="00902489"/>
    <w:rPr>
      <w:smallCaps/>
      <w:color w:val="595959" w:themeColor="text1" w:themeTint="A6"/>
    </w:rPr>
  </w:style>
  <w:style w:type="character" w:styleId="IntenseReference">
    <w:name w:val="Intense Reference"/>
    <w:basedOn w:val="DefaultParagraphFont"/>
    <w:uiPriority w:val="32"/>
    <w:qFormat/>
    <w:rsid w:val="00902489"/>
    <w:rPr>
      <w:b/>
      <w:bCs/>
      <w:smallCaps/>
      <w:color w:val="70AD47" w:themeColor="accent6"/>
    </w:rPr>
  </w:style>
  <w:style w:type="character" w:styleId="BookTitle">
    <w:name w:val="Book Title"/>
    <w:basedOn w:val="DefaultParagraphFont"/>
    <w:uiPriority w:val="33"/>
    <w:qFormat/>
    <w:rsid w:val="00902489"/>
    <w:rPr>
      <w:b/>
      <w:bCs/>
      <w:caps w:val="0"/>
      <w:smallCaps/>
      <w:spacing w:val="7"/>
      <w:sz w:val="21"/>
      <w:szCs w:val="21"/>
    </w:rPr>
  </w:style>
  <w:style w:type="paragraph" w:styleId="TOCHeading">
    <w:name w:val="TOC Heading"/>
    <w:basedOn w:val="Heading1"/>
    <w:next w:val="Normal"/>
    <w:uiPriority w:val="39"/>
    <w:semiHidden/>
    <w:unhideWhenUsed/>
    <w:qFormat/>
    <w:rsid w:val="00902489"/>
    <w:pPr>
      <w:outlineLvl w:val="9"/>
    </w:pPr>
  </w:style>
  <w:style w:type="table" w:styleId="TableGrid">
    <w:name w:val="Table Grid"/>
    <w:basedOn w:val="TableNormal"/>
    <w:rsid w:val="00F0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72C0"/>
    <w:pPr>
      <w:spacing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645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F09"/>
    <w:rPr>
      <w:rFonts w:ascii="Tahoma" w:hAnsi="Tahoma" w:cs="Tahoma"/>
      <w:sz w:val="16"/>
      <w:szCs w:val="16"/>
    </w:rPr>
  </w:style>
  <w:style w:type="character" w:styleId="CommentReference">
    <w:name w:val="annotation reference"/>
    <w:basedOn w:val="DefaultParagraphFont"/>
    <w:uiPriority w:val="99"/>
    <w:semiHidden/>
    <w:unhideWhenUsed/>
    <w:rsid w:val="008760B3"/>
    <w:rPr>
      <w:sz w:val="16"/>
      <w:szCs w:val="16"/>
    </w:rPr>
  </w:style>
  <w:style w:type="paragraph" w:styleId="CommentText">
    <w:name w:val="annotation text"/>
    <w:basedOn w:val="Normal"/>
    <w:link w:val="CommentTextChar"/>
    <w:uiPriority w:val="99"/>
    <w:semiHidden/>
    <w:unhideWhenUsed/>
    <w:rsid w:val="008760B3"/>
    <w:pPr>
      <w:spacing w:line="240" w:lineRule="auto"/>
    </w:pPr>
    <w:rPr>
      <w:sz w:val="20"/>
      <w:szCs w:val="20"/>
    </w:rPr>
  </w:style>
  <w:style w:type="character" w:customStyle="1" w:styleId="CommentTextChar">
    <w:name w:val="Comment Text Char"/>
    <w:basedOn w:val="DefaultParagraphFont"/>
    <w:link w:val="CommentText"/>
    <w:uiPriority w:val="99"/>
    <w:semiHidden/>
    <w:rsid w:val="008760B3"/>
    <w:rPr>
      <w:sz w:val="20"/>
      <w:szCs w:val="20"/>
    </w:rPr>
  </w:style>
  <w:style w:type="paragraph" w:styleId="CommentSubject">
    <w:name w:val="annotation subject"/>
    <w:basedOn w:val="CommentText"/>
    <w:next w:val="CommentText"/>
    <w:link w:val="CommentSubjectChar"/>
    <w:uiPriority w:val="99"/>
    <w:semiHidden/>
    <w:unhideWhenUsed/>
    <w:rsid w:val="008760B3"/>
    <w:rPr>
      <w:b/>
      <w:bCs/>
    </w:rPr>
  </w:style>
  <w:style w:type="character" w:customStyle="1" w:styleId="CommentSubjectChar">
    <w:name w:val="Comment Subject Char"/>
    <w:basedOn w:val="CommentTextChar"/>
    <w:link w:val="CommentSubject"/>
    <w:uiPriority w:val="99"/>
    <w:semiHidden/>
    <w:rsid w:val="008760B3"/>
    <w:rPr>
      <w:b/>
      <w:bCs/>
      <w:sz w:val="20"/>
      <w:szCs w:val="20"/>
    </w:rPr>
  </w:style>
  <w:style w:type="character" w:styleId="Hyperlink">
    <w:name w:val="Hyperlink"/>
    <w:basedOn w:val="DefaultParagraphFont"/>
    <w:uiPriority w:val="99"/>
    <w:semiHidden/>
    <w:unhideWhenUsed/>
    <w:rsid w:val="00A925ED"/>
    <w:rPr>
      <w:color w:val="0000FF"/>
      <w:u w:val="single"/>
    </w:rPr>
  </w:style>
  <w:style w:type="character" w:customStyle="1" w:styleId="Style1Char">
    <w:name w:val="Style1 Char"/>
    <w:basedOn w:val="DefaultParagraphFont"/>
    <w:rsid w:val="00373FBC"/>
    <w:rPr>
      <w:rFonts w:ascii="Trebuchet MS" w:hAnsi="Trebuchet MS"/>
      <w:b/>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89"/>
  </w:style>
  <w:style w:type="paragraph" w:styleId="Heading1">
    <w:name w:val="heading 1"/>
    <w:basedOn w:val="Normal"/>
    <w:next w:val="Normal"/>
    <w:link w:val="Heading1Char"/>
    <w:uiPriority w:val="9"/>
    <w:qFormat/>
    <w:rsid w:val="00902489"/>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902489"/>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90248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902489"/>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902489"/>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902489"/>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902489"/>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902489"/>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902489"/>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0DF8"/>
    <w:pPr>
      <w:tabs>
        <w:tab w:val="center" w:pos="4680"/>
        <w:tab w:val="right" w:pos="9360"/>
      </w:tabs>
    </w:pPr>
  </w:style>
  <w:style w:type="character" w:customStyle="1" w:styleId="HeaderChar">
    <w:name w:val="Header Char"/>
    <w:basedOn w:val="DefaultParagraphFont"/>
    <w:link w:val="Header"/>
    <w:uiPriority w:val="99"/>
    <w:rsid w:val="00F20DF8"/>
    <w:rPr>
      <w:rFonts w:ascii="Calibri" w:eastAsia="Times New Roman" w:hAnsi="Calibri" w:cs="Times New Roman"/>
    </w:rPr>
  </w:style>
  <w:style w:type="paragraph" w:styleId="Footer">
    <w:name w:val="footer"/>
    <w:basedOn w:val="Normal"/>
    <w:link w:val="FooterChar"/>
    <w:uiPriority w:val="99"/>
    <w:unhideWhenUsed/>
    <w:rsid w:val="00F20DF8"/>
    <w:pPr>
      <w:tabs>
        <w:tab w:val="center" w:pos="4680"/>
        <w:tab w:val="right" w:pos="9360"/>
      </w:tabs>
    </w:pPr>
  </w:style>
  <w:style w:type="character" w:customStyle="1" w:styleId="FooterChar">
    <w:name w:val="Footer Char"/>
    <w:basedOn w:val="DefaultParagraphFont"/>
    <w:link w:val="Footer"/>
    <w:uiPriority w:val="99"/>
    <w:rsid w:val="00F20DF8"/>
    <w:rPr>
      <w:rFonts w:ascii="Calibri" w:eastAsia="Times New Roman" w:hAnsi="Calibri" w:cs="Times New Roman"/>
    </w:rPr>
  </w:style>
  <w:style w:type="paragraph" w:customStyle="1" w:styleId="Style1">
    <w:name w:val="Style1"/>
    <w:basedOn w:val="Normal"/>
    <w:link w:val="Style1CharChar"/>
    <w:rsid w:val="00436F94"/>
    <w:pPr>
      <w:spacing w:before="120" w:after="0" w:line="360" w:lineRule="auto"/>
      <w:jc w:val="both"/>
    </w:pPr>
    <w:rPr>
      <w:rFonts w:ascii="Maiandra GD" w:hAnsi="Maiandra GD"/>
      <w:b/>
      <w:sz w:val="24"/>
      <w:szCs w:val="24"/>
      <w:lang w:val="sv-SE"/>
    </w:rPr>
  </w:style>
  <w:style w:type="character" w:customStyle="1" w:styleId="Style1CharChar">
    <w:name w:val="Style1 Char Char"/>
    <w:basedOn w:val="DefaultParagraphFont"/>
    <w:link w:val="Style1"/>
    <w:rsid w:val="00436F94"/>
    <w:rPr>
      <w:rFonts w:ascii="Maiandra GD" w:eastAsia="Times New Roman" w:hAnsi="Maiandra GD" w:cs="Times New Roman"/>
      <w:b/>
      <w:sz w:val="24"/>
      <w:szCs w:val="24"/>
      <w:lang w:val="sv-SE"/>
    </w:rPr>
  </w:style>
  <w:style w:type="character" w:customStyle="1" w:styleId="Heading1Char">
    <w:name w:val="Heading 1 Char"/>
    <w:basedOn w:val="DefaultParagraphFont"/>
    <w:link w:val="Heading1"/>
    <w:uiPriority w:val="9"/>
    <w:rsid w:val="00902489"/>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902489"/>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902489"/>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902489"/>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902489"/>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902489"/>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902489"/>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902489"/>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902489"/>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902489"/>
    <w:pPr>
      <w:spacing w:line="240" w:lineRule="auto"/>
    </w:pPr>
    <w:rPr>
      <w:b/>
      <w:bCs/>
      <w:smallCaps/>
      <w:color w:val="595959" w:themeColor="text1" w:themeTint="A6"/>
    </w:rPr>
  </w:style>
  <w:style w:type="paragraph" w:styleId="Title">
    <w:name w:val="Title"/>
    <w:basedOn w:val="Normal"/>
    <w:next w:val="Normal"/>
    <w:link w:val="TitleChar"/>
    <w:uiPriority w:val="10"/>
    <w:qFormat/>
    <w:rsid w:val="00902489"/>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902489"/>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902489"/>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902489"/>
    <w:rPr>
      <w:rFonts w:asciiTheme="majorHAnsi" w:eastAsiaTheme="majorEastAsia" w:hAnsiTheme="majorHAnsi" w:cstheme="majorBidi"/>
      <w:sz w:val="30"/>
      <w:szCs w:val="30"/>
    </w:rPr>
  </w:style>
  <w:style w:type="character" w:styleId="Strong">
    <w:name w:val="Strong"/>
    <w:basedOn w:val="DefaultParagraphFont"/>
    <w:uiPriority w:val="22"/>
    <w:qFormat/>
    <w:rsid w:val="00902489"/>
    <w:rPr>
      <w:b/>
      <w:bCs/>
    </w:rPr>
  </w:style>
  <w:style w:type="character" w:styleId="Emphasis">
    <w:name w:val="Emphasis"/>
    <w:basedOn w:val="DefaultParagraphFont"/>
    <w:uiPriority w:val="20"/>
    <w:qFormat/>
    <w:rsid w:val="00902489"/>
    <w:rPr>
      <w:i/>
      <w:iCs/>
      <w:color w:val="70AD47" w:themeColor="accent6"/>
    </w:rPr>
  </w:style>
  <w:style w:type="paragraph" w:styleId="NoSpacing">
    <w:name w:val="No Spacing"/>
    <w:uiPriority w:val="1"/>
    <w:qFormat/>
    <w:rsid w:val="00902489"/>
    <w:pPr>
      <w:spacing w:after="0" w:line="240" w:lineRule="auto"/>
    </w:pPr>
  </w:style>
  <w:style w:type="paragraph" w:styleId="Quote">
    <w:name w:val="Quote"/>
    <w:basedOn w:val="Normal"/>
    <w:next w:val="Normal"/>
    <w:link w:val="QuoteChar"/>
    <w:uiPriority w:val="29"/>
    <w:qFormat/>
    <w:rsid w:val="00902489"/>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902489"/>
    <w:rPr>
      <w:i/>
      <w:iCs/>
      <w:color w:val="262626" w:themeColor="text1" w:themeTint="D9"/>
    </w:rPr>
  </w:style>
  <w:style w:type="paragraph" w:styleId="IntenseQuote">
    <w:name w:val="Intense Quote"/>
    <w:basedOn w:val="Normal"/>
    <w:next w:val="Normal"/>
    <w:link w:val="IntenseQuoteChar"/>
    <w:uiPriority w:val="30"/>
    <w:qFormat/>
    <w:rsid w:val="00902489"/>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902489"/>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902489"/>
    <w:rPr>
      <w:i/>
      <w:iCs/>
    </w:rPr>
  </w:style>
  <w:style w:type="character" w:styleId="IntenseEmphasis">
    <w:name w:val="Intense Emphasis"/>
    <w:basedOn w:val="DefaultParagraphFont"/>
    <w:uiPriority w:val="21"/>
    <w:qFormat/>
    <w:rsid w:val="00902489"/>
    <w:rPr>
      <w:b/>
      <w:bCs/>
      <w:i/>
      <w:iCs/>
    </w:rPr>
  </w:style>
  <w:style w:type="character" w:styleId="SubtleReference">
    <w:name w:val="Subtle Reference"/>
    <w:basedOn w:val="DefaultParagraphFont"/>
    <w:uiPriority w:val="31"/>
    <w:qFormat/>
    <w:rsid w:val="00902489"/>
    <w:rPr>
      <w:smallCaps/>
      <w:color w:val="595959" w:themeColor="text1" w:themeTint="A6"/>
    </w:rPr>
  </w:style>
  <w:style w:type="character" w:styleId="IntenseReference">
    <w:name w:val="Intense Reference"/>
    <w:basedOn w:val="DefaultParagraphFont"/>
    <w:uiPriority w:val="32"/>
    <w:qFormat/>
    <w:rsid w:val="00902489"/>
    <w:rPr>
      <w:b/>
      <w:bCs/>
      <w:smallCaps/>
      <w:color w:val="70AD47" w:themeColor="accent6"/>
    </w:rPr>
  </w:style>
  <w:style w:type="character" w:styleId="BookTitle">
    <w:name w:val="Book Title"/>
    <w:basedOn w:val="DefaultParagraphFont"/>
    <w:uiPriority w:val="33"/>
    <w:qFormat/>
    <w:rsid w:val="00902489"/>
    <w:rPr>
      <w:b/>
      <w:bCs/>
      <w:caps w:val="0"/>
      <w:smallCaps/>
      <w:spacing w:val="7"/>
      <w:sz w:val="21"/>
      <w:szCs w:val="21"/>
    </w:rPr>
  </w:style>
  <w:style w:type="paragraph" w:styleId="TOCHeading">
    <w:name w:val="TOC Heading"/>
    <w:basedOn w:val="Heading1"/>
    <w:next w:val="Normal"/>
    <w:uiPriority w:val="39"/>
    <w:semiHidden/>
    <w:unhideWhenUsed/>
    <w:qFormat/>
    <w:rsid w:val="00902489"/>
    <w:pPr>
      <w:outlineLvl w:val="9"/>
    </w:pPr>
  </w:style>
  <w:style w:type="table" w:styleId="TableGrid">
    <w:name w:val="Table Grid"/>
    <w:basedOn w:val="TableNormal"/>
    <w:rsid w:val="00F0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72C0"/>
    <w:pPr>
      <w:spacing w:line="276"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645F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5F09"/>
    <w:rPr>
      <w:rFonts w:ascii="Tahoma" w:hAnsi="Tahoma" w:cs="Tahoma"/>
      <w:sz w:val="16"/>
      <w:szCs w:val="16"/>
    </w:rPr>
  </w:style>
  <w:style w:type="character" w:styleId="CommentReference">
    <w:name w:val="annotation reference"/>
    <w:basedOn w:val="DefaultParagraphFont"/>
    <w:uiPriority w:val="99"/>
    <w:semiHidden/>
    <w:unhideWhenUsed/>
    <w:rsid w:val="008760B3"/>
    <w:rPr>
      <w:sz w:val="16"/>
      <w:szCs w:val="16"/>
    </w:rPr>
  </w:style>
  <w:style w:type="paragraph" w:styleId="CommentText">
    <w:name w:val="annotation text"/>
    <w:basedOn w:val="Normal"/>
    <w:link w:val="CommentTextChar"/>
    <w:uiPriority w:val="99"/>
    <w:semiHidden/>
    <w:unhideWhenUsed/>
    <w:rsid w:val="008760B3"/>
    <w:pPr>
      <w:spacing w:line="240" w:lineRule="auto"/>
    </w:pPr>
    <w:rPr>
      <w:sz w:val="20"/>
      <w:szCs w:val="20"/>
    </w:rPr>
  </w:style>
  <w:style w:type="character" w:customStyle="1" w:styleId="CommentTextChar">
    <w:name w:val="Comment Text Char"/>
    <w:basedOn w:val="DefaultParagraphFont"/>
    <w:link w:val="CommentText"/>
    <w:uiPriority w:val="99"/>
    <w:semiHidden/>
    <w:rsid w:val="008760B3"/>
    <w:rPr>
      <w:sz w:val="20"/>
      <w:szCs w:val="20"/>
    </w:rPr>
  </w:style>
  <w:style w:type="paragraph" w:styleId="CommentSubject">
    <w:name w:val="annotation subject"/>
    <w:basedOn w:val="CommentText"/>
    <w:next w:val="CommentText"/>
    <w:link w:val="CommentSubjectChar"/>
    <w:uiPriority w:val="99"/>
    <w:semiHidden/>
    <w:unhideWhenUsed/>
    <w:rsid w:val="008760B3"/>
    <w:rPr>
      <w:b/>
      <w:bCs/>
    </w:rPr>
  </w:style>
  <w:style w:type="character" w:customStyle="1" w:styleId="CommentSubjectChar">
    <w:name w:val="Comment Subject Char"/>
    <w:basedOn w:val="CommentTextChar"/>
    <w:link w:val="CommentSubject"/>
    <w:uiPriority w:val="99"/>
    <w:semiHidden/>
    <w:rsid w:val="008760B3"/>
    <w:rPr>
      <w:b/>
      <w:bCs/>
      <w:sz w:val="20"/>
      <w:szCs w:val="20"/>
    </w:rPr>
  </w:style>
  <w:style w:type="character" w:styleId="Hyperlink">
    <w:name w:val="Hyperlink"/>
    <w:basedOn w:val="DefaultParagraphFont"/>
    <w:uiPriority w:val="99"/>
    <w:semiHidden/>
    <w:unhideWhenUsed/>
    <w:rsid w:val="00A925ED"/>
    <w:rPr>
      <w:color w:val="0000FF"/>
      <w:u w:val="single"/>
    </w:rPr>
  </w:style>
</w:styles>
</file>

<file path=word/webSettings.xml><?xml version="1.0" encoding="utf-8"?>
<w:webSettings xmlns:r="http://schemas.openxmlformats.org/officeDocument/2006/relationships" xmlns:w="http://schemas.openxmlformats.org/wordprocessingml/2006/main">
  <w:divs>
    <w:div w:id="1704551747">
      <w:bodyDiv w:val="1"/>
      <w:marLeft w:val="0"/>
      <w:marRight w:val="0"/>
      <w:marTop w:val="0"/>
      <w:marBottom w:val="0"/>
      <w:divBdr>
        <w:top w:val="none" w:sz="0" w:space="0" w:color="auto"/>
        <w:left w:val="none" w:sz="0" w:space="0" w:color="auto"/>
        <w:bottom w:val="none" w:sz="0" w:space="0" w:color="auto"/>
        <w:right w:val="none" w:sz="0" w:space="0" w:color="auto"/>
      </w:divBdr>
      <w:divsChild>
        <w:div w:id="23408304">
          <w:marLeft w:val="0"/>
          <w:marRight w:val="0"/>
          <w:marTop w:val="0"/>
          <w:marBottom w:val="0"/>
          <w:divBdr>
            <w:top w:val="none" w:sz="0" w:space="0" w:color="auto"/>
            <w:left w:val="none" w:sz="0" w:space="0" w:color="auto"/>
            <w:bottom w:val="none" w:sz="0" w:space="0" w:color="auto"/>
            <w:right w:val="none" w:sz="0" w:space="0" w:color="auto"/>
          </w:divBdr>
          <w:divsChild>
            <w:div w:id="578637976">
              <w:marLeft w:val="0"/>
              <w:marRight w:val="0"/>
              <w:marTop w:val="0"/>
              <w:marBottom w:val="0"/>
              <w:divBdr>
                <w:top w:val="none" w:sz="0" w:space="0" w:color="auto"/>
                <w:left w:val="none" w:sz="0" w:space="0" w:color="auto"/>
                <w:bottom w:val="none" w:sz="0" w:space="0" w:color="auto"/>
                <w:right w:val="none" w:sz="0" w:space="0" w:color="auto"/>
              </w:divBdr>
            </w:div>
          </w:divsChild>
        </w:div>
        <w:div w:id="1968967750">
          <w:marLeft w:val="0"/>
          <w:marRight w:val="0"/>
          <w:marTop w:val="0"/>
          <w:marBottom w:val="0"/>
          <w:divBdr>
            <w:top w:val="none" w:sz="0" w:space="0" w:color="auto"/>
            <w:left w:val="none" w:sz="0" w:space="0" w:color="auto"/>
            <w:bottom w:val="none" w:sz="0" w:space="0" w:color="auto"/>
            <w:right w:val="none" w:sz="0" w:space="0" w:color="auto"/>
          </w:divBdr>
          <w:divsChild>
            <w:div w:id="44323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PPE%202015\Penyusunan%20RKPD%202016\Data%20PDRB%2020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plotArea>
      <c:layout/>
      <c:lineChart>
        <c:grouping val="standard"/>
        <c:ser>
          <c:idx val="0"/>
          <c:order val="0"/>
          <c:tx>
            <c:strRef>
              <c:f>eg!$B$1</c:f>
              <c:strCache>
                <c:ptCount val="1"/>
                <c:pt idx="0">
                  <c:v>Dengan Migas</c:v>
                </c:pt>
              </c:strCache>
            </c:strRef>
          </c:tx>
          <c:dLbls>
            <c:showVal val="1"/>
          </c:dLbls>
          <c:cat>
            <c:strRef>
              <c:f>eg!$A$2:$A$5</c:f>
              <c:strCache>
                <c:ptCount val="4"/>
                <c:pt idx="0">
                  <c:v>2011</c:v>
                </c:pt>
                <c:pt idx="1">
                  <c:v>2012</c:v>
                </c:pt>
                <c:pt idx="2">
                  <c:v>2013</c:v>
                </c:pt>
                <c:pt idx="3">
                  <c:v>2014</c:v>
                </c:pt>
              </c:strCache>
            </c:strRef>
          </c:cat>
          <c:val>
            <c:numRef>
              <c:f>eg!$B$2:$B$5</c:f>
              <c:numCache>
                <c:formatCode>General</c:formatCode>
                <c:ptCount val="4"/>
                <c:pt idx="0">
                  <c:v>-8.3600000000000048</c:v>
                </c:pt>
                <c:pt idx="1">
                  <c:v>-7.1899999999999995</c:v>
                </c:pt>
                <c:pt idx="2">
                  <c:v>-6.4</c:v>
                </c:pt>
                <c:pt idx="3">
                  <c:v>-4.1399999999999997</c:v>
                </c:pt>
              </c:numCache>
            </c:numRef>
          </c:val>
        </c:ser>
        <c:ser>
          <c:idx val="1"/>
          <c:order val="1"/>
          <c:tx>
            <c:strRef>
              <c:f>eg!$C$1</c:f>
              <c:strCache>
                <c:ptCount val="1"/>
                <c:pt idx="0">
                  <c:v>Tanpa Migas</c:v>
                </c:pt>
              </c:strCache>
            </c:strRef>
          </c:tx>
          <c:dLbls>
            <c:showVal val="1"/>
          </c:dLbls>
          <c:cat>
            <c:strRef>
              <c:f>eg!$A$2:$A$5</c:f>
              <c:strCache>
                <c:ptCount val="4"/>
                <c:pt idx="0">
                  <c:v>2011</c:v>
                </c:pt>
                <c:pt idx="1">
                  <c:v>2012</c:v>
                </c:pt>
                <c:pt idx="2">
                  <c:v>2013</c:v>
                </c:pt>
                <c:pt idx="3">
                  <c:v>2014</c:v>
                </c:pt>
              </c:strCache>
            </c:strRef>
          </c:cat>
          <c:val>
            <c:numRef>
              <c:f>eg!$C$2:$C$5</c:f>
              <c:numCache>
                <c:formatCode>General</c:formatCode>
                <c:ptCount val="4"/>
                <c:pt idx="0">
                  <c:v>7.31</c:v>
                </c:pt>
                <c:pt idx="1">
                  <c:v>6.6</c:v>
                </c:pt>
                <c:pt idx="2">
                  <c:v>6.4300000000000024</c:v>
                </c:pt>
                <c:pt idx="3">
                  <c:v>7.28</c:v>
                </c:pt>
              </c:numCache>
            </c:numRef>
          </c:val>
        </c:ser>
        <c:ser>
          <c:idx val="2"/>
          <c:order val="2"/>
          <c:tx>
            <c:strRef>
              <c:f>eg!$D$1</c:f>
              <c:strCache>
                <c:ptCount val="1"/>
                <c:pt idx="0">
                  <c:v>Kaltim</c:v>
                </c:pt>
              </c:strCache>
            </c:strRef>
          </c:tx>
          <c:dLbls>
            <c:showVal val="1"/>
          </c:dLbls>
          <c:cat>
            <c:strRef>
              <c:f>eg!$A$2:$A$5</c:f>
              <c:strCache>
                <c:ptCount val="4"/>
                <c:pt idx="0">
                  <c:v>2011</c:v>
                </c:pt>
                <c:pt idx="1">
                  <c:v>2012</c:v>
                </c:pt>
                <c:pt idx="2">
                  <c:v>2013</c:v>
                </c:pt>
                <c:pt idx="3">
                  <c:v>2014</c:v>
                </c:pt>
              </c:strCache>
            </c:strRef>
          </c:cat>
          <c:val>
            <c:numRef>
              <c:f>eg!$D$2:$D$5</c:f>
              <c:numCache>
                <c:formatCode>General</c:formatCode>
                <c:ptCount val="4"/>
                <c:pt idx="0">
                  <c:v>6.4700000000000024</c:v>
                </c:pt>
                <c:pt idx="1">
                  <c:v>5.48</c:v>
                </c:pt>
                <c:pt idx="2">
                  <c:v>2.72</c:v>
                </c:pt>
                <c:pt idx="3">
                  <c:v>2.02</c:v>
                </c:pt>
              </c:numCache>
            </c:numRef>
          </c:val>
        </c:ser>
        <c:marker val="1"/>
        <c:axId val="97345536"/>
        <c:axId val="97347072"/>
      </c:lineChart>
      <c:catAx>
        <c:axId val="97345536"/>
        <c:scaling>
          <c:orientation val="minMax"/>
        </c:scaling>
        <c:axPos val="b"/>
        <c:tickLblPos val="nextTo"/>
        <c:crossAx val="97347072"/>
        <c:crosses val="autoZero"/>
        <c:auto val="1"/>
        <c:lblAlgn val="ctr"/>
        <c:lblOffset val="100"/>
      </c:catAx>
      <c:valAx>
        <c:axId val="97347072"/>
        <c:scaling>
          <c:orientation val="minMax"/>
        </c:scaling>
        <c:axPos val="l"/>
        <c:majorGridlines/>
        <c:numFmt formatCode="General" sourceLinked="1"/>
        <c:tickLblPos val="nextTo"/>
        <c:crossAx val="97345536"/>
        <c:crosses val="autoZero"/>
        <c:crossBetween val="between"/>
      </c:valAx>
    </c:plotArea>
    <c:legend>
      <c:legendPos val="b"/>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E6484-0135-4549-B43B-E97CF42C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Nugroho</dc:creator>
  <cp:lastModifiedBy>TIRTA</cp:lastModifiedBy>
  <cp:revision>11</cp:revision>
  <cp:lastPrinted>2015-06-15T08:41:00Z</cp:lastPrinted>
  <dcterms:created xsi:type="dcterms:W3CDTF">2015-06-11T05:06:00Z</dcterms:created>
  <dcterms:modified xsi:type="dcterms:W3CDTF">2015-08-02T08:02:00Z</dcterms:modified>
</cp:coreProperties>
</file>